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  <w:t>巫溪县</w:t>
      </w:r>
      <w:r>
        <w:rPr>
          <w:rFonts w:ascii="Times New Roman" w:hAnsi="Times New Roman"/>
          <w:color w:val="333333"/>
          <w:kern w:val="0"/>
          <w:sz w:val="44"/>
          <w:szCs w:val="44"/>
          <w:lang w:bidi="ar"/>
        </w:rPr>
        <w:t>202</w:t>
      </w:r>
      <w:r>
        <w:rPr>
          <w:rFonts w:hint="eastAsia" w:ascii="Times New Roman" w:hAnsi="Times New Roman"/>
          <w:color w:val="333333"/>
          <w:kern w:val="0"/>
          <w:sz w:val="44"/>
          <w:szCs w:val="44"/>
          <w:lang w:val="en-US" w:eastAsia="zh-CN" w:bidi="ar"/>
        </w:rPr>
        <w:t>2</w:t>
      </w:r>
      <w:r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  <w:t>年国民经济和社会发展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rPr>
          <w:rFonts w:hint="eastAsia" w:ascii="方正楷体_GBK" w:hAnsi="方正楷体_GBK" w:eastAsia="方正楷体_GBK" w:cs="方正楷体_GBK"/>
          <w:color w:val="333333"/>
          <w:sz w:val="32"/>
          <w:szCs w:val="32"/>
          <w:lang w:bidi="ar"/>
        </w:rPr>
      </w:pPr>
      <w:r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  <w:t>统计公报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hanging="640"/>
        <w:jc w:val="center"/>
        <w:textAlignment w:val="auto"/>
        <w:rPr>
          <w:rFonts w:hint="eastAsia" w:ascii="方正楷体_GBK" w:hAnsi="方正楷体_GBK" w:eastAsia="方正楷体_GBK" w:cs="方正楷体_GBK"/>
          <w:color w:val="333333"/>
          <w:sz w:val="32"/>
          <w:szCs w:val="32"/>
          <w:highlight w:val="yellow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2022年，全县面对复杂严峻的国际环境和国内疫情多发散发、高温干旱少雨极端天气等超预期因素带来的严重冲击，全县上下坚持以习近平新时代中国特色社会主义思想为指导，深入学习贯彻党的二十大精神和党中央、国务院决策部署，认真落实疫情要防住、经济要稳住、发展要安全的要求，高效统筹疫情防控和经济社会发展，着力推动稳经济一揽子政策，加快释放政策效能，保持了经济社会和谐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一、综合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初步核算，全年全县实现地区生产总值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1238761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万元，比上年增长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按产业分，第一产业增加值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276856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3.7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%；第二产业增加值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297770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5.2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%；第三产业增加值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664135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1.3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%。三次产业对经济增长的贡献率分别为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32.5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42.7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24.8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%，分别拉动经济增长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0.9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1.1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0.7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个百分点，三次产业结构比为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22.3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24.0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53.7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。全年人均地区生产总值达到31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869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元，比上年增长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1.8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%。民营经济增加值746554万元，增长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4.3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%，占全县经济总量的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60.3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%。</w:t>
      </w:r>
    </w:p>
    <w:p>
      <w:pPr>
        <w:pStyle w:val="2"/>
      </w:pPr>
      <w:r>
        <w:drawing>
          <wp:inline distT="0" distB="0" distL="114300" distR="114300">
            <wp:extent cx="5253990" cy="2695575"/>
            <wp:effectExtent l="4445" t="4445" r="18415" b="5080"/>
            <wp:docPr id="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3"/>
      </w:pPr>
    </w:p>
    <w:p>
      <w:pPr>
        <w:pStyle w:val="3"/>
        <w:ind w:left="0" w:leftChars="0" w:firstLine="0" w:firstLineChars="0"/>
        <w:rPr>
          <w:rFonts w:hint="eastAsia"/>
        </w:rPr>
      </w:pPr>
      <w:r>
        <w:drawing>
          <wp:inline distT="0" distB="0" distL="114300" distR="114300">
            <wp:extent cx="5271770" cy="2703830"/>
            <wp:effectExtent l="4445" t="4445" r="19685" b="1587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年末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全县常住人口38.78万人，比上年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减少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0.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万人。其中，城镇人口16.07万人，占常住人口比重（常住人口城镇化率）为41.44%，比上年提高0.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个百分点。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按户籍人口统计（公安局人口年报），年末全县有192375户，总人口为532317人，人口性别比（以女性为100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，男性对女性的比例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）为110.5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，出生婴儿性别比为106.7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（见表1）。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全年人口出生率为6.1‰，死亡率为7.2‰，人口自然增长率为-1.1‰（按照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" w:eastAsia="zh-CN"/>
        </w:rPr>
        <w:t>户籍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两年平均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" w:eastAsia="zh-CN"/>
        </w:rPr>
        <w:t>人口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计算）。全年迁出人口4595人，迁入人口2273人。</w:t>
      </w:r>
    </w:p>
    <w:tbl>
      <w:tblPr>
        <w:tblStyle w:val="5"/>
        <w:tblpPr w:leftFromText="181" w:rightFromText="181" w:vertAnchor="text" w:horzAnchor="page" w:tblpX="1828" w:tblpY="690"/>
        <w:tblOverlap w:val="never"/>
        <w:tblW w:w="4951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1"/>
        <w:gridCol w:w="2255"/>
        <w:gridCol w:w="258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exact"/>
        </w:trPr>
        <w:tc>
          <w:tcPr>
            <w:tcW w:w="5000" w:type="pct"/>
            <w:gridSpan w:val="3"/>
            <w:tcBorders>
              <w:top w:val="single" w:color="FFFFFF" w:sz="12" w:space="0"/>
              <w:left w:val="single" w:color="FFFFFF" w:sz="12" w:space="0"/>
              <w:bottom w:val="single" w:color="auto" w:sz="12" w:space="0"/>
              <w:right w:val="outset" w:color="FFFFFF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2134" w:type="pct"/>
            <w:tcBorders>
              <w:top w:val="single" w:color="auto" w:sz="12" w:space="0"/>
              <w:left w:val="outset" w:color="ECE9D8" w:sz="6" w:space="0"/>
              <w:bottom w:val="single" w:color="auto" w:sz="12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555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  <w:t>指标名称</w:t>
            </w:r>
          </w:p>
        </w:tc>
        <w:tc>
          <w:tcPr>
            <w:tcW w:w="1336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57" w:firstLineChars="49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  <w:t>年末数（人）</w:t>
            </w:r>
          </w:p>
        </w:tc>
        <w:tc>
          <w:tcPr>
            <w:tcW w:w="1529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outset" w:color="ECE9D8" w:sz="6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555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kern w:val="0"/>
                <w:sz w:val="32"/>
                <w:szCs w:val="32"/>
                <w:highlight w:val="none"/>
              </w:rPr>
              <w:t>比　重（%）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</w:trPr>
        <w:tc>
          <w:tcPr>
            <w:tcW w:w="2134" w:type="pct"/>
            <w:tcBorders>
              <w:top w:val="single" w:color="auto" w:sz="12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户籍总人口</w:t>
            </w:r>
          </w:p>
        </w:tc>
        <w:tc>
          <w:tcPr>
            <w:tcW w:w="1336" w:type="pct"/>
            <w:tcBorders>
              <w:top w:val="single" w:color="auto" w:sz="12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532317</w:t>
            </w:r>
          </w:p>
        </w:tc>
        <w:tc>
          <w:tcPr>
            <w:tcW w:w="1529" w:type="pct"/>
            <w:tcBorders>
              <w:top w:val="single" w:color="auto" w:sz="12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ind w:firstLine="402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479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其中：城镇人口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190842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35.9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600" w:firstLineChars="50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乡村人口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341475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64.1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479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其中：男性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279481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52.5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600" w:firstLineChars="50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女性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252836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47.5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479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其中：0-17岁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101279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571" w:firstLineChars="491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18-34岁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123690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23.3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571" w:firstLineChars="491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35-59岁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202411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38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.0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571" w:firstLineChars="491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60岁及以上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104937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bidi="ar"/>
              </w:rPr>
              <w:t>19.7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出生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/>
              </w:rPr>
              <w:t>人口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3249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479" w:firstLineChars="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其中：男性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1677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51.6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600" w:firstLineChars="50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女性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1572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48.4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/>
              </w:rPr>
              <w:t>死亡人口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3842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479" w:firstLineChars="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其中：男性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2278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outset" w:color="ECE9D8" w:sz="6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59.3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</w:trPr>
        <w:tc>
          <w:tcPr>
            <w:tcW w:w="2134" w:type="pct"/>
            <w:tcBorders>
              <w:top w:val="outset" w:color="ECE9D8" w:sz="6" w:space="0"/>
              <w:left w:val="outset" w:color="ECE9D8" w:sz="6" w:space="0"/>
              <w:bottom w:val="threeDEngrave" w:color="auto" w:sz="12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280" w:lineRule="exact"/>
              <w:ind w:firstLine="1600" w:firstLineChars="500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女性</w:t>
            </w:r>
          </w:p>
        </w:tc>
        <w:tc>
          <w:tcPr>
            <w:tcW w:w="1336" w:type="pct"/>
            <w:tcBorders>
              <w:top w:val="outset" w:color="ECE9D8" w:sz="6" w:space="0"/>
              <w:left w:val="single" w:color="auto" w:sz="4" w:space="0"/>
              <w:bottom w:val="threeDEngrave" w:color="auto" w:sz="12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</w:rPr>
              <w:t>1564</w:t>
            </w:r>
          </w:p>
        </w:tc>
        <w:tc>
          <w:tcPr>
            <w:tcW w:w="1529" w:type="pct"/>
            <w:tcBorders>
              <w:top w:val="outset" w:color="ECE9D8" w:sz="6" w:space="0"/>
              <w:left w:val="outset" w:color="ECE9D8" w:sz="6" w:space="0"/>
              <w:bottom w:val="threeDEngrave" w:color="auto" w:sz="12" w:space="0"/>
              <w:right w:val="outset" w:color="ECE9D8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highlight w:val="none"/>
                <w:lang w:val="en-US" w:eastAsia="zh-CN" w:bidi="ar"/>
              </w:rPr>
              <w:t>40.7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-6"/>
          <w:kern w:val="0"/>
          <w:sz w:val="32"/>
          <w:szCs w:val="32"/>
          <w:highlight w:val="none"/>
          <w:lang w:val="en" w:eastAsia="zh-CN" w:bidi="ar"/>
        </w:rPr>
        <w:t>表1  202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-6"/>
          <w:kern w:val="0"/>
          <w:sz w:val="32"/>
          <w:szCs w:val="32"/>
          <w:highlight w:val="none"/>
          <w:lang w:val="en-US" w:eastAsia="zh-CN" w:bidi="ar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-6"/>
          <w:kern w:val="0"/>
          <w:sz w:val="32"/>
          <w:szCs w:val="32"/>
          <w:highlight w:val="none"/>
          <w:lang w:val="en" w:eastAsia="zh-CN" w:bidi="ar"/>
        </w:rPr>
        <w:t>年户籍人口数及其构成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城乡就业再就业工作取得新成效。城镇新增就业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3778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人，城镇登记失业人员数2408人，城镇登记失业人员再就业人数1838人，就业困难人员就业人数1667人。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年末，全县有11个乡，19个镇，2个街道办事处，288个行政村，41个社区居民委员会。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二、农业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全年农林牧渔业总产值443185万元，同比增长3.8%。其中农业产值247318万元，同比增长4.7%；林业产值60508万元，同比增长9.4%；牧业产值125711万元，同比下降1.3%；渔业产值3134万元，同比增长4.8%；农林牧渔专业及辅助性活动产值6514万元，同比增长3.1%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全年粮食作物播种面积895288亩，同比增长1.5%。全年粮食总产235609吨，下降1.6%。其中，小麦267吨，下降0.4%；玉米89035吨，下降0.04%；水稻14224吨，下降0.2 %；大豆5678吨，增长0.9  %；马铃薯80067 吨，增长3.3%。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 xml:space="preserve">    全年生猪出栏575388头，同比增加1.7%；牛出栏7018头，同比增长7.4%；羊出栏251809只，同比增长1.5%；家禽出栏2736805只，同比下降4.2%。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kern w:val="0"/>
          <w:sz w:val="32"/>
          <w:szCs w:val="3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 xml:space="preserve">三、工业和建筑业  </w:t>
      </w:r>
      <w:r>
        <w:rPr>
          <w:rFonts w:hint="eastAsia" w:ascii="方正仿宋_GBK" w:hAnsi="方正仿宋_GBK" w:eastAsia="方正仿宋_GBK" w:cs="方正仿宋_GBK"/>
          <w:bCs/>
          <w:kern w:val="0"/>
          <w:sz w:val="32"/>
          <w:szCs w:val="32"/>
          <w:highlight w:val="none"/>
          <w:lang w:val="e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全年全县工业增加值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77633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同比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下降7.9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%，分三大门类看，采矿业增加值增长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5.5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%，制造业增加值下降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%，电力、热力、燃气及水生产和供应业增加值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下降9.6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全年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规模以上工业企业全年增加值比上年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下降16.3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。全年实现规模以上工业总产值13.0亿元，比上年下降17.7%，主要工业产品产量有增有减（见表2）。分经济类型看，国有控股企业产值下降16.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%，股份制企业下降28.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%。分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三大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门类看，采矿业下降26.1%，制造业下降18.5%，电力、热力、燃气及水生产和供应业下降19.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%。分产业看，清洁能源产值比上年下降43.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%，建筑材料产业下降37.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%，食品医药增长8.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%，轻工纺织产业增长20.6%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。</w:t>
      </w:r>
    </w:p>
    <w:p>
      <w:pPr>
        <w:pStyle w:val="2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</w:pPr>
      <w:r>
        <w:drawing>
          <wp:inline distT="0" distB="0" distL="114300" distR="114300">
            <wp:extent cx="5273040" cy="3204210"/>
            <wp:effectExtent l="0" t="0" r="381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全年建筑业增加值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220137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11.2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%，完成建筑产值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375752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20.4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四、服务业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全年交通运输、仓储和邮政业增加值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25268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同比下降4.8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%；批发和零售业增加值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109794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万元，比上年增长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1.0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%；住宿和餐饮业增加值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24929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下降0.4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%；金融业增加值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89593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%；房地产业增加值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77659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0.4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%；其他服务业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332811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全年货物运输总量412.6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吨，货物运输周转量34979.5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吨公里。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全年旅客运输总量149.6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。旅客运输周转量7894.7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人公里。年末营运车辆635辆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，公交车路数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路，实有公共汽(电)车营运车辆数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辆，实有出租汽车数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年末，全县公路里程年底到达数7414.3公里，其中，等级公路6949.3公里(二级公路220.2公里，三级公路335.3公里，四级公路6393.8公里)，等外级公路465公里。乡镇通车率100%，行政村通车率100%，行政村通达率100%。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全年完成邮政行业业务总量9727.6万元，比上年增长4.9%。全年完成邮政函件业务25284件，包裹业务1398件，快递业务521829件。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全年完成电信业务总量12029万元，比上年增长10.9%。全县固定电话用户55453户，移动电话用户161491户。互联网用户107431户。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五、国内贸易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全年社会消费品零售总额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657017.6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万元，同比增长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批发业商品销售额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232072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万元，同比增长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%；零售业商品销售额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612820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万元，同比增长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4.5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%；住宿业营业额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54365万元，同比下降0.4%；餐饮业营业额36188万元，同比增长0.1%。按经营地统计，城镇消费品零售额下降10%，乡村消费品零售额下降30.6%。按消费类型统计，商品零售额下降9.9%，餐饮收入下降14%。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 xml:space="preserve">    在在限额以上单位中，粮油、食品类商品零售额比上年下降1.2%，饮料类商品增长25.3%，烟酒类商品下降56.6%，服装、鞋帽、针纺织品类商品下降21.3%，化妆品类商品下降38.8%，金银珠宝类商品增长38.5%，家用电器和音像器材类商品下降13.7%，中西药品类商品增长3.5%，文化办公用品类商品下降30.4%，家具类商品下降40.3%，通讯器材类商品下降88.8%，建筑及装潢材料类商品下降28.2%，石油及制品类商品下降5.1%，汽车类商品增长0.1%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 xml:space="preserve">六、固定资产投资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全年全县固定资产投资同比增长3.2%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（见表3）。其中，民间投资同比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增长121.6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%，占全县固定资产投资的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8.6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。分版块看，基础设施建设投资下降1.6%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房地产投资下降22.5%，工业投资增长38.4%。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分产业看，第一产业增长51.5%；第二产业增长38.4%；第三产业增长0.2%。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96" w:lineRule="exact"/>
        <w:ind w:left="0" w:right="0" w:firstLine="640" w:firstLineChars="200"/>
        <w:jc w:val="both"/>
        <w:textAlignment w:val="auto"/>
        <w:rPr>
          <w:rFonts w:hint="eastAsia"/>
          <w:lang w:val="en" w:eastAsia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highlight w:val="none"/>
          <w:lang w:val="en-US" w:eastAsia="zh-CN" w:bidi="ar-SA"/>
        </w:rPr>
        <w:t>全年房地产开发投资147298万元，比上年下降22.5%。其中，住宅投资120082万元，下降7.8%；商业营业用房投资13679万元，下降35.9%；其他投资13537万元，下降64.9%。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   2022年全社会固定资产投资情况</w:t>
      </w:r>
    </w:p>
    <w:tbl>
      <w:tblPr>
        <w:tblStyle w:val="5"/>
        <w:tblW w:w="97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  <w:jc w:val="center"/>
        </w:trPr>
        <w:tc>
          <w:tcPr>
            <w:tcW w:w="9780" w:type="dxa"/>
            <w:tcBorders>
              <w:top w:val="single" w:color="FFFFFF" w:sz="12" w:space="0"/>
              <w:left w:val="single" w:color="FFFFFF" w:sz="12" w:space="0"/>
              <w:bottom w:val="single" w:color="FFFFFF" w:sz="12" w:space="0"/>
              <w:right w:val="single" w:color="FFFFFF" w:sz="12" w:space="0"/>
            </w:tcBorders>
            <w:shd w:val="clear" w:color="auto" w:fill="FFFFFF"/>
            <w:noWrap w:val="0"/>
            <w:vAlign w:val="center"/>
          </w:tcPr>
          <w:tbl>
            <w:tblPr>
              <w:tblStyle w:val="5"/>
              <w:tblW w:w="8279" w:type="dxa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46"/>
              <w:gridCol w:w="3733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0" w:hRule="atLeast"/>
                <w:jc w:val="center"/>
              </w:trPr>
              <w:tc>
                <w:tcPr>
                  <w:tcW w:w="4546" w:type="dxa"/>
                  <w:tcBorders>
                    <w:top w:val="single" w:color="auto" w:sz="12" w:space="0"/>
                    <w:left w:val="inset" w:color="ECE9D8" w:sz="6" w:space="0"/>
                    <w:bottom w:val="single" w:color="auto" w:sz="12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280" w:lineRule="exact"/>
                    <w:ind w:firstLine="403"/>
                    <w:jc w:val="center"/>
                    <w:textAlignment w:val="baseline"/>
                    <w:rPr>
                      <w:rFonts w:hint="eastAsia" w:ascii="方正仿宋_GBK" w:hAnsi="方正仿宋_GBK" w:eastAsia="方正仿宋_GBK" w:cs="方正仿宋_GBK"/>
                      <w:b/>
                      <w:bCs/>
                      <w:kern w:val="0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bCs/>
                      <w:kern w:val="0"/>
                      <w:sz w:val="32"/>
                      <w:szCs w:val="32"/>
                      <w:highlight w:val="none"/>
                    </w:rPr>
                    <w:t>指标名称</w:t>
                  </w:r>
                </w:p>
              </w:tc>
              <w:tc>
                <w:tcPr>
                  <w:tcW w:w="3733" w:type="dxa"/>
                  <w:tcBorders>
                    <w:top w:val="single" w:color="auto" w:sz="12" w:space="0"/>
                    <w:left w:val="single" w:color="auto" w:sz="0" w:space="0"/>
                    <w:bottom w:val="single" w:color="auto" w:sz="12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280" w:lineRule="exact"/>
                    <w:jc w:val="center"/>
                    <w:textAlignment w:val="baseline"/>
                    <w:rPr>
                      <w:rFonts w:hint="eastAsia" w:ascii="方正仿宋_GBK" w:hAnsi="方正仿宋_GBK" w:eastAsia="方正仿宋_GBK" w:cs="方正仿宋_GBK"/>
                      <w:b/>
                      <w:bCs/>
                      <w:kern w:val="0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b/>
                      <w:bCs/>
                      <w:kern w:val="0"/>
                      <w:sz w:val="32"/>
                      <w:szCs w:val="32"/>
                      <w:highlight w:val="none"/>
                    </w:rPr>
                    <w:t>比上年增长(%)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6" w:hRule="atLeast"/>
                <w:jc w:val="center"/>
              </w:trPr>
              <w:tc>
                <w:tcPr>
                  <w:tcW w:w="4546" w:type="dxa"/>
                  <w:tcBorders>
                    <w:top w:val="single" w:color="auto" w:sz="12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投资总额(万元)</w:t>
                  </w:r>
                </w:p>
              </w:tc>
              <w:tc>
                <w:tcPr>
                  <w:tcW w:w="3733" w:type="dxa"/>
                  <w:tcBorders>
                    <w:top w:val="single" w:color="auto" w:sz="12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3.2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 xml:space="preserve"> 500万元以上项目投资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11.2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 xml:space="preserve"> 房地产开发投资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-22.5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按构成分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　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640" w:firstLineChars="200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建安工程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12.1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627" w:firstLineChars="196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设备工器具购置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40.2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787" w:firstLineChars="246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其他费用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-49.1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按三次产业分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320" w:firstLineChars="100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第一产业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51.5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320" w:firstLineChars="100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第二产业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38.4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inset" w:color="ECE9D8" w:sz="6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467" w:firstLineChars="146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 xml:space="preserve"> #工业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inset" w:color="ECE9D8" w:sz="6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611" w:firstLineChars="191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38.4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4546" w:type="dxa"/>
                  <w:tcBorders>
                    <w:top w:val="inset" w:color="ECE9D8" w:sz="6" w:space="0"/>
                    <w:left w:val="inset" w:color="ECE9D8" w:sz="6" w:space="0"/>
                    <w:bottom w:val="single" w:color="auto" w:sz="12" w:space="0"/>
                    <w:right w:val="single" w:color="auto" w:sz="4" w:space="0"/>
                  </w:tcBorders>
                  <w:shd w:val="clear" w:color="auto" w:fill="E6E6E6"/>
                  <w:noWrap w:val="0"/>
                  <w:vAlign w:val="top"/>
                </w:tcPr>
                <w:p>
                  <w:pPr>
                    <w:spacing w:line="320" w:lineRule="exact"/>
                    <w:ind w:firstLine="320" w:firstLineChars="100"/>
                    <w:jc w:val="both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</w:rPr>
                    <w:t>第三产业</w:t>
                  </w:r>
                </w:p>
              </w:tc>
              <w:tc>
                <w:tcPr>
                  <w:tcW w:w="3733" w:type="dxa"/>
                  <w:tcBorders>
                    <w:top w:val="inset" w:color="ECE9D8" w:sz="6" w:space="0"/>
                    <w:left w:val="single" w:color="auto" w:sz="0" w:space="0"/>
                    <w:bottom w:val="single" w:color="auto" w:sz="12" w:space="0"/>
                    <w:right w:val="inset" w:color="ECE9D8" w:sz="6" w:space="0"/>
                  </w:tcBorders>
                  <w:noWrap w:val="0"/>
                  <w:vAlign w:val="top"/>
                </w:tcPr>
                <w:p>
                  <w:pPr>
                    <w:snapToGrid w:val="0"/>
                    <w:spacing w:line="320" w:lineRule="exact"/>
                    <w:ind w:left="555" w:firstLine="928" w:firstLineChars="290"/>
                    <w:jc w:val="right"/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sz w:val="32"/>
                      <w:szCs w:val="32"/>
                      <w:highlight w:val="none"/>
                      <w:lang w:val="en-US" w:eastAsia="zh-CN"/>
                    </w:rPr>
                    <w:t>0.2</w:t>
                  </w:r>
                </w:p>
              </w:tc>
            </w:tr>
          </w:tbl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32"/>
                <w:szCs w:val="32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 xml:space="preserve">七、财政金融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全年全县一般公共预算收入完成88435万元，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扣除留抵退税因素后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26.8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按自然口径计算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增长19.7%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。其中：税收收入完成39029万元，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扣除留抵退税因素后下降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0.4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%，按自然口径计算下降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12.0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非税收入完成49406万元，增长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67.1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%。一般公共预算支出完成498215万元，下降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96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年末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人民币存款余额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2424300.8万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11.7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%。人民币贷款余额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1853605.8万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7.5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全县营业性保险分公司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13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家。保费总收入52998万元。其中，财产保险收入20259万元；人身保险收入32739万元。全年赔付各类保险金2083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万元。其中，财产保险赔付14247万元；人身保险赔付659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万元。</w:t>
      </w:r>
    </w:p>
    <w:p>
      <w:pPr>
        <w:pStyle w:val="2"/>
        <w:ind w:firstLine="640" w:firstLineChars="200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全县共有证券营业部  1 家，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全年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累计开户数278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，证券成交量187590.5万元。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八、居民收入消费和社会保障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全县居民人均可支配收入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20918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%。其中，城镇常住居民人均可支配收入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32117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4.1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%；农村常住居民人均可支配收入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13163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见表4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全县居民人均生活消费支出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15182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5.3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%。其中：城镇常住居民人均生活消费支出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20170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4.2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%；农村常住居民人均生活消费支出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11728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3.2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%。全县居民恩格尔系数36.6%，比上年下降1.2个百分点。其中：城镇为34.8%，农村为38.7%。城乡居民收支比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2.44：1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全县城乡居民社会养老保险参保人数 28.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万人，城镇职工基本养老保险参保人数9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万人，其中企业职工7.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万人，城镇职工基本养老保险实际支付人数3.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万人，城镇职工基本养老保险金基金收入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亿元，城镇职工基本养老保险金基金支出 11.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亿元，实发养老金额  11.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亿元。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城乡居民合作医疗保险参保人数41.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万人，城镇职工基本医疗保险参保人数3.7万人。医疗保险基金总收入4.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亿元，医疗保险基金总支出4.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 亿元。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工伤保险参保人数3.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万人，工伤保险基金收入1284万元，工伤保险基金支出2165万元。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失业保险参保人数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万人，失业保险基金总收入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2107.4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万元，失业保险基金总支出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2027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万元。</w:t>
      </w:r>
    </w:p>
    <w:p>
      <w:pPr>
        <w:pStyle w:val="2"/>
        <w:ind w:firstLine="640" w:firstLineChars="200"/>
        <w:rPr>
          <w:rFonts w:hint="eastAsia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年末，全县共有2525人享受城市居民最低生活保障，16543人享受农村居民最低生活保障。城市特困人员救助供养人数82人，农村特困人员救助供养人数3239人。全年资助23748人困难群众参加医疗保险。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br w:type="textWrapping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 xml:space="preserve">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城市居民最低生活保障标准为581元/月，农村居民最低生活保障标准为717元/月，特困人员救助供养标准为932元/月，孤儿补助标准1382元/月。</w:t>
      </w:r>
    </w:p>
    <w:p>
      <w:pPr>
        <w:pStyle w:val="2"/>
      </w:pPr>
      <w:r>
        <w:drawing>
          <wp:inline distT="0" distB="0" distL="114300" distR="114300">
            <wp:extent cx="5272405" cy="3288030"/>
            <wp:effectExtent l="0" t="0" r="444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8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"/>
        </w:rPr>
      </w:pPr>
      <w:r>
        <w:drawing>
          <wp:inline distT="0" distB="0" distL="114300" distR="114300">
            <wp:extent cx="5269865" cy="2703830"/>
            <wp:effectExtent l="4445" t="4445" r="21590" b="1587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九、科学技术和教育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全县科研机构数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2个，科技项目立项7个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。全年引进推广科技成果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33个，其中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国家级11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个，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市级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6个，县级16个。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授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权专利数2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件，授权发明专利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共有普通高中教育学校4所，中等职业学校2所，普通初中15所，普通小学77所，幼儿园65所，特殊教育学校1所。高中阶段教育毛入学率 96 %，初中入学率为100%，小学学龄儿童净入学率为99.28%，学前教育三年毛入园率91.4%。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十、文化旅游、卫生健康和体育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文化及相关产业增加值21456万元，按现价计算比上年减少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4.7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年末，全县共有博物馆2个，文化馆1个，文化站32个，公共图书馆1个，艺术表演团体13个。广播节目综合人口覆盖率97.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%；电视节目综合人口覆盖率97.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 xml:space="preserve">%。公共图书馆总藏量85359册、件，书架总长度0.19万米。 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旅游及相关产业增加值44236万元，按现价计算比上年减少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%。年末全县拥有国家A级景区5个，其中，4A级景区2个，3A级景区2个，2A级景区1个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年末，全县共有各级各类医疗卫生机构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382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个。其中，医院12个，社区卫生服务中心（站）2个，乡镇卫生院30个，村卫生室257个。个体诊所80个。共有医疗卫生机构床位数2412张。其中，医院床位1531张，乡镇卫生院床位881张。全县共有医疗卫生机构卫生技术人员2044人。其中，执业医师和执业助理医师1019人，注册护士990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年末，全县有体育场地1613个，有国家级裁判80人，其中国家一级裁判13人，国家二级裁判67人。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十一、资源、环境和应急管理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年末，全县共有土地面积401914.3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公顷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。林地面积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333866.7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公顷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，森林面积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282344.4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公顷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，森林覆盖率70.2%，森林蓄积量1470万立方米，当年造林面积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2.3万亩，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退耕还林累计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59.1万亩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全县自然保护区1个，其中，国家级自然保护区1个。完成营造林面积2.3万亩。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 w:bidi="ar-SA"/>
        </w:rPr>
        <w:t>全年城区空气质量优良天数341天。城市空气质量达标率93.42%。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 w:bidi="ar-SA"/>
        </w:rPr>
        <w:t>饮用水源水质达标率100%，城区区域环境噪声平均值54.0分贝。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全年安全事故亡人总起数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起, 总死亡人数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人。其中交通事故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死亡人数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6人；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建筑施工事故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死亡人数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7人；其他事故6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起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死亡人数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注释：</w:t>
      </w: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1.本公报中202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年数据均为初步统计数，部分数据因四舍五入的原因，存在与分项合计不等的情况。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2.地区生产总值、三次产业及相关行业增加值、人均地区生产总值、农林牧渔业总产值绝对数按现价计算，增长速度按可比价计算。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.其</w:t>
      </w:r>
      <w:r>
        <w:rPr>
          <w:rFonts w:hint="eastAsia" w:ascii="方正楷体_GBK" w:hAnsi="方正楷体_GBK" w:eastAsia="方正楷体_GBK" w:cs="方正楷体_GBK"/>
          <w:spacing w:val="-4"/>
          <w:kern w:val="0"/>
          <w:sz w:val="28"/>
          <w:szCs w:val="28"/>
          <w:lang w:bidi="ar"/>
        </w:rPr>
        <w:t>他服务业包括农、林、牧、渔专业及辅助性活动，信息传输、软件和信息技术服务业，租赁和商务服务业，科学研究和技术服务业，水利、环境和公共设施管理业，居民服务、修理和其他服务业，教育，卫生和社会工作，文化、体育和娱乐业，公共管理、社会保障和社会组织等行业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.行业统计标准：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规模以上工业：年主营业务收入2000万元及以上的工业法人单位。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有资质的建筑业：有总承包和专业承包资质的建筑业法人单位。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限额以上批发和零售业：年主营业务收入2000万元及以上的批发业、年主营业务收入500万元及以上的零售业企业（单位）。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限额以上住宿和餐饮业：年主营业务收入200万元及以上的住宿和餐饮业企业（单位）。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房地产开发经营业：全部房地产开发经营业法人单位。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规模以上服务业：年营业收入2000万元及以上服务业法人单位。包括：交通运输、仓储和邮政业，信息传输、软件和信息技术服务业，水利、环境和公共设施管理业三个门类和卫生行业大类。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年营业收入1000万元及以上服务业法人单位。包括：租赁和商务服务业、科学研究和技术服务业、教育三个门类，以及物业管理、房地产中介服务、房地产租赁经营和其他房地产业四个行业大类。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年营业收入500万元及以上服务业法人单位。包括：居民服务、修理和其他服务业，文化、体育和娱乐业两个门类，以及社会工作行业大类。</w:t>
      </w:r>
    </w:p>
    <w:p>
      <w:pPr>
        <w:pStyle w:val="2"/>
        <w:rPr>
          <w:rFonts w:hint="eastAsia" w:eastAsia="方正仿宋_GBK" w:cs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报宋简">
    <w:panose1 w:val="02010609000101010101"/>
    <w:charset w:val="86"/>
    <w:family w:val="modern"/>
    <w:pitch w:val="default"/>
    <w:sig w:usb0="00000001" w:usb1="080E0800" w:usb2="00000002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C0D08"/>
    <w:rsid w:val="01F22B77"/>
    <w:rsid w:val="02740165"/>
    <w:rsid w:val="03224022"/>
    <w:rsid w:val="036348F5"/>
    <w:rsid w:val="03BE1149"/>
    <w:rsid w:val="05721D59"/>
    <w:rsid w:val="06A74DBD"/>
    <w:rsid w:val="06B961DA"/>
    <w:rsid w:val="06EA61F8"/>
    <w:rsid w:val="07D07F1D"/>
    <w:rsid w:val="08B50476"/>
    <w:rsid w:val="08DA0675"/>
    <w:rsid w:val="08E6374F"/>
    <w:rsid w:val="0B417592"/>
    <w:rsid w:val="0B6B2AF8"/>
    <w:rsid w:val="0C4818CD"/>
    <w:rsid w:val="0C5A10F3"/>
    <w:rsid w:val="0D424536"/>
    <w:rsid w:val="0D872F82"/>
    <w:rsid w:val="0D8D1D4C"/>
    <w:rsid w:val="0DD85DDD"/>
    <w:rsid w:val="0EA37B51"/>
    <w:rsid w:val="0F8F3E7B"/>
    <w:rsid w:val="0FA21600"/>
    <w:rsid w:val="0FC373BA"/>
    <w:rsid w:val="10024E6A"/>
    <w:rsid w:val="102F1450"/>
    <w:rsid w:val="10E53986"/>
    <w:rsid w:val="11373594"/>
    <w:rsid w:val="11477787"/>
    <w:rsid w:val="1154007F"/>
    <w:rsid w:val="118F0C1D"/>
    <w:rsid w:val="11AD085B"/>
    <w:rsid w:val="12D96979"/>
    <w:rsid w:val="12DB157F"/>
    <w:rsid w:val="12F83578"/>
    <w:rsid w:val="136F0304"/>
    <w:rsid w:val="14540713"/>
    <w:rsid w:val="14F1225C"/>
    <w:rsid w:val="15321C87"/>
    <w:rsid w:val="15C74786"/>
    <w:rsid w:val="15DC405B"/>
    <w:rsid w:val="16A5468C"/>
    <w:rsid w:val="16B918F1"/>
    <w:rsid w:val="16CA1D25"/>
    <w:rsid w:val="16CA7686"/>
    <w:rsid w:val="176C1788"/>
    <w:rsid w:val="193420F5"/>
    <w:rsid w:val="19767EEA"/>
    <w:rsid w:val="19DD7D07"/>
    <w:rsid w:val="1A794E25"/>
    <w:rsid w:val="1C6A111E"/>
    <w:rsid w:val="1D1A0EC7"/>
    <w:rsid w:val="1D8B61B8"/>
    <w:rsid w:val="1DA66104"/>
    <w:rsid w:val="1ED51388"/>
    <w:rsid w:val="1EF70239"/>
    <w:rsid w:val="1F0F03BB"/>
    <w:rsid w:val="1FD62313"/>
    <w:rsid w:val="213E7BEB"/>
    <w:rsid w:val="218A3DB3"/>
    <w:rsid w:val="21EB58E7"/>
    <w:rsid w:val="242F25FA"/>
    <w:rsid w:val="250C2633"/>
    <w:rsid w:val="25DF20E1"/>
    <w:rsid w:val="25F07571"/>
    <w:rsid w:val="26566D7A"/>
    <w:rsid w:val="26785A69"/>
    <w:rsid w:val="26BC20B0"/>
    <w:rsid w:val="27433447"/>
    <w:rsid w:val="27481F77"/>
    <w:rsid w:val="281D6EEF"/>
    <w:rsid w:val="28A8713E"/>
    <w:rsid w:val="28E956E3"/>
    <w:rsid w:val="29194BAB"/>
    <w:rsid w:val="292C1F8F"/>
    <w:rsid w:val="29335093"/>
    <w:rsid w:val="29B41518"/>
    <w:rsid w:val="29CB7AFD"/>
    <w:rsid w:val="2A2A2D2E"/>
    <w:rsid w:val="2AE9621B"/>
    <w:rsid w:val="2C21783C"/>
    <w:rsid w:val="2C9922FB"/>
    <w:rsid w:val="2CB45D63"/>
    <w:rsid w:val="2CB73383"/>
    <w:rsid w:val="2CC85276"/>
    <w:rsid w:val="2CFB694E"/>
    <w:rsid w:val="2D7D3C90"/>
    <w:rsid w:val="2DCC7AC8"/>
    <w:rsid w:val="2E265C19"/>
    <w:rsid w:val="2EBE2F18"/>
    <w:rsid w:val="2EF153E2"/>
    <w:rsid w:val="2EF84EF8"/>
    <w:rsid w:val="2F040E5A"/>
    <w:rsid w:val="302738A6"/>
    <w:rsid w:val="30765516"/>
    <w:rsid w:val="30953705"/>
    <w:rsid w:val="30BD2283"/>
    <w:rsid w:val="30D9583B"/>
    <w:rsid w:val="31985FAC"/>
    <w:rsid w:val="326E5985"/>
    <w:rsid w:val="32C03644"/>
    <w:rsid w:val="32DE1B84"/>
    <w:rsid w:val="32E23873"/>
    <w:rsid w:val="32F71B4C"/>
    <w:rsid w:val="33DB5A3A"/>
    <w:rsid w:val="359A173D"/>
    <w:rsid w:val="365C11D3"/>
    <w:rsid w:val="36A376AB"/>
    <w:rsid w:val="36FE2013"/>
    <w:rsid w:val="37885D55"/>
    <w:rsid w:val="385B1DBB"/>
    <w:rsid w:val="3B07012B"/>
    <w:rsid w:val="3B757620"/>
    <w:rsid w:val="3BB20B49"/>
    <w:rsid w:val="3D983173"/>
    <w:rsid w:val="3DA02173"/>
    <w:rsid w:val="3DF36883"/>
    <w:rsid w:val="3E772454"/>
    <w:rsid w:val="3E8B11DC"/>
    <w:rsid w:val="3EF56008"/>
    <w:rsid w:val="3FBF22FD"/>
    <w:rsid w:val="3FBF4394"/>
    <w:rsid w:val="3FE05189"/>
    <w:rsid w:val="40134EAC"/>
    <w:rsid w:val="40432312"/>
    <w:rsid w:val="409F121B"/>
    <w:rsid w:val="40C24631"/>
    <w:rsid w:val="41554A8C"/>
    <w:rsid w:val="417845CF"/>
    <w:rsid w:val="41ED21DA"/>
    <w:rsid w:val="41FD5669"/>
    <w:rsid w:val="42B17B30"/>
    <w:rsid w:val="43FA0D5B"/>
    <w:rsid w:val="4453760D"/>
    <w:rsid w:val="446F0FAD"/>
    <w:rsid w:val="44F14EA2"/>
    <w:rsid w:val="47220E76"/>
    <w:rsid w:val="474D154C"/>
    <w:rsid w:val="489908D8"/>
    <w:rsid w:val="49586942"/>
    <w:rsid w:val="4A1705D7"/>
    <w:rsid w:val="4A171087"/>
    <w:rsid w:val="4A64210F"/>
    <w:rsid w:val="4A9A3470"/>
    <w:rsid w:val="4E58223B"/>
    <w:rsid w:val="4EFD5600"/>
    <w:rsid w:val="4FAC1D5A"/>
    <w:rsid w:val="4FBC522F"/>
    <w:rsid w:val="50A857A6"/>
    <w:rsid w:val="5137310B"/>
    <w:rsid w:val="5149202C"/>
    <w:rsid w:val="51B7343A"/>
    <w:rsid w:val="53562E86"/>
    <w:rsid w:val="537216D6"/>
    <w:rsid w:val="53920B01"/>
    <w:rsid w:val="54294F47"/>
    <w:rsid w:val="54335BF2"/>
    <w:rsid w:val="544A2DC9"/>
    <w:rsid w:val="550A00FD"/>
    <w:rsid w:val="55A577B7"/>
    <w:rsid w:val="55B569F2"/>
    <w:rsid w:val="55B8405C"/>
    <w:rsid w:val="562848DF"/>
    <w:rsid w:val="564A29DC"/>
    <w:rsid w:val="56EE45F7"/>
    <w:rsid w:val="57B23613"/>
    <w:rsid w:val="5804253D"/>
    <w:rsid w:val="58A64AEB"/>
    <w:rsid w:val="58C5485D"/>
    <w:rsid w:val="58E3739B"/>
    <w:rsid w:val="596417C8"/>
    <w:rsid w:val="5A523E42"/>
    <w:rsid w:val="5B3E0EEC"/>
    <w:rsid w:val="5BA879C4"/>
    <w:rsid w:val="5C4C5719"/>
    <w:rsid w:val="5D941718"/>
    <w:rsid w:val="5F343C44"/>
    <w:rsid w:val="5FD9187D"/>
    <w:rsid w:val="60595C65"/>
    <w:rsid w:val="608C6BD2"/>
    <w:rsid w:val="60C1275F"/>
    <w:rsid w:val="61054A93"/>
    <w:rsid w:val="62AA3D7A"/>
    <w:rsid w:val="62F432F4"/>
    <w:rsid w:val="62F84AD7"/>
    <w:rsid w:val="638C152E"/>
    <w:rsid w:val="63A90460"/>
    <w:rsid w:val="64241777"/>
    <w:rsid w:val="645A194B"/>
    <w:rsid w:val="64671171"/>
    <w:rsid w:val="655F4388"/>
    <w:rsid w:val="65D77011"/>
    <w:rsid w:val="65FC2020"/>
    <w:rsid w:val="66DC6E07"/>
    <w:rsid w:val="673C3D0C"/>
    <w:rsid w:val="67EF6AE0"/>
    <w:rsid w:val="681311FB"/>
    <w:rsid w:val="681A3CB6"/>
    <w:rsid w:val="68425A00"/>
    <w:rsid w:val="689D789A"/>
    <w:rsid w:val="69893D4C"/>
    <w:rsid w:val="6A020B77"/>
    <w:rsid w:val="6A7C295F"/>
    <w:rsid w:val="6AB13ECB"/>
    <w:rsid w:val="6B773A4D"/>
    <w:rsid w:val="6CEE359C"/>
    <w:rsid w:val="6CFF31E9"/>
    <w:rsid w:val="6E8B2454"/>
    <w:rsid w:val="6F063902"/>
    <w:rsid w:val="6F95017F"/>
    <w:rsid w:val="7000120A"/>
    <w:rsid w:val="701F7367"/>
    <w:rsid w:val="70511501"/>
    <w:rsid w:val="707127FD"/>
    <w:rsid w:val="71773C56"/>
    <w:rsid w:val="71B1418F"/>
    <w:rsid w:val="7204014C"/>
    <w:rsid w:val="725D4480"/>
    <w:rsid w:val="72B67150"/>
    <w:rsid w:val="73117E08"/>
    <w:rsid w:val="73977F9E"/>
    <w:rsid w:val="74512647"/>
    <w:rsid w:val="75D17851"/>
    <w:rsid w:val="76286424"/>
    <w:rsid w:val="76602978"/>
    <w:rsid w:val="76BE662A"/>
    <w:rsid w:val="76D257E2"/>
    <w:rsid w:val="771E02BF"/>
    <w:rsid w:val="771F14CD"/>
    <w:rsid w:val="77236E09"/>
    <w:rsid w:val="772A1545"/>
    <w:rsid w:val="77410D75"/>
    <w:rsid w:val="77721A61"/>
    <w:rsid w:val="77A50B2A"/>
    <w:rsid w:val="790F7BAF"/>
    <w:rsid w:val="794A36CE"/>
    <w:rsid w:val="795520DE"/>
    <w:rsid w:val="7A8658C6"/>
    <w:rsid w:val="7A8D1EC1"/>
    <w:rsid w:val="7C557D24"/>
    <w:rsid w:val="7CD36CBB"/>
    <w:rsid w:val="7DD15684"/>
    <w:rsid w:val="7DD46ACA"/>
    <w:rsid w:val="7DF55331"/>
    <w:rsid w:val="7F305B86"/>
    <w:rsid w:val="7F96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eastAsia="方正仿宋_GBK"/>
      <w:sz w:val="32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31"/>
    <w:qFormat/>
    <w:uiPriority w:val="0"/>
    <w:rPr>
      <w:rFonts w:hint="eastAsia" w:ascii="汉仪报宋简" w:hAnsi="汉仪报宋简" w:eastAsia="汉仪报宋简" w:cs="汉仪报宋简"/>
      <w:color w:val="000000"/>
      <w:sz w:val="21"/>
      <w:szCs w:val="21"/>
      <w:u w:val="none"/>
      <w:vertAlign w:val="superscript"/>
    </w:rPr>
  </w:style>
  <w:style w:type="character" w:customStyle="1" w:styleId="8">
    <w:name w:val="font01"/>
    <w:qFormat/>
    <w:uiPriority w:val="0"/>
    <w:rPr>
      <w:rFonts w:hint="eastAsia" w:ascii="汉仪报宋简" w:hAnsi="汉仪报宋简" w:eastAsia="汉仪报宋简" w:cs="汉仪报宋简"/>
      <w:color w:val="000000"/>
      <w:sz w:val="21"/>
      <w:szCs w:val="21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3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2018-202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2018-2020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d:\Documents\WXWork\1688855000313718\Cache\File\2023-02\11&#22478;&#20065;&#23621;&#27665;&#25910;&#25903;(1)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200">
                <a:solidFill>
                  <a:sysClr val="windowText" lastClr="000000"/>
                </a:solidFill>
                <a:latin typeface="方正小标宋_GBK" panose="03000509000000000000" charset="-122"/>
                <a:ea typeface="方正小标宋_GBK" panose="03000509000000000000" charset="-122"/>
                <a:cs typeface="方正小标宋_GBK" panose="03000509000000000000" charset="-122"/>
              </a:rPr>
              <a:t>图1    2018―2022年全县地区生产总值及其增长速度</a:t>
            </a:r>
            <a:endParaRPr sz="1200">
              <a:solidFill>
                <a:sysClr val="windowText" lastClr="000000"/>
              </a:solidFill>
              <a:latin typeface="方正小标宋_GBK" panose="03000509000000000000" charset="-122"/>
              <a:ea typeface="方正小标宋_GBK" panose="03000509000000000000" charset="-122"/>
              <a:cs typeface="方正小标宋_GBK" panose="03000509000000000000" charset="-122"/>
            </a:endParaRPr>
          </a:p>
        </c:rich>
      </c:tx>
      <c:layout>
        <c:manualLayout>
          <c:xMode val="edge"/>
          <c:yMode val="edge"/>
          <c:x val="0.118611111111111"/>
          <c:y val="0.020833333333333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'[2018-2020.xlsx]结果'!$B$26</c:f>
              <c:strCache>
                <c:ptCount val="1"/>
                <c:pt idx="0">
                  <c:v>全县地区生产总值（GDP）（万元）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1"/>
              <c:layout>
                <c:manualLayout>
                  <c:x val="0.00833333333333333"/>
                  <c:y val="-0.027777777777777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'[2018-2020.xlsx]结果'!$A$27:$A$31</c:f>
              <c:strCache>
                <c:ptCount val="5"/>
                <c:pt idx="0">
                  <c:v>2018年</c:v>
                </c:pt>
                <c:pt idx="1">
                  <c:v>2019年</c:v>
                </c:pt>
                <c:pt idx="2">
                  <c:v>2020年</c:v>
                </c:pt>
                <c:pt idx="3">
                  <c:v>2021年</c:v>
                </c:pt>
                <c:pt idx="4">
                  <c:v>2022年</c:v>
                </c:pt>
              </c:strCache>
            </c:strRef>
          </c:cat>
          <c:val>
            <c:numRef>
              <c:f>'[2018-2020.xlsx]结果'!$B$27:$B$31</c:f>
              <c:numCache>
                <c:formatCode>0</c:formatCode>
                <c:ptCount val="5"/>
                <c:pt idx="0">
                  <c:v>955539</c:v>
                </c:pt>
                <c:pt idx="1" c:formatCode="General">
                  <c:v>1033301</c:v>
                </c:pt>
                <c:pt idx="2" c:formatCode="General">
                  <c:v>1109522</c:v>
                </c:pt>
                <c:pt idx="3" c:formatCode="General">
                  <c:v>1195977</c:v>
                </c:pt>
                <c:pt idx="4" c:formatCode="General">
                  <c:v>1238761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55797384"/>
        <c:axId val="184602840"/>
      </c:barChart>
      <c:lineChart>
        <c:grouping val="standard"/>
        <c:varyColors val="0"/>
        <c:ser>
          <c:idx val="1"/>
          <c:order val="1"/>
          <c:tx>
            <c:strRef>
              <c:f>'[2018-2020.xlsx]结果'!$C$26</c:f>
              <c:strCache>
                <c:ptCount val="1"/>
                <c:pt idx="0">
                  <c:v>增速（%）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1"/>
              <c:layout>
                <c:manualLayout>
                  <c:x val="0.00416666666666667"/>
                  <c:y val="0.034722222222222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'[2018-2020.xlsx]结果'!$A$27:$A$31</c:f>
              <c:strCache>
                <c:ptCount val="5"/>
                <c:pt idx="0">
                  <c:v>2018年</c:v>
                </c:pt>
                <c:pt idx="1">
                  <c:v>2019年</c:v>
                </c:pt>
                <c:pt idx="2">
                  <c:v>2020年</c:v>
                </c:pt>
                <c:pt idx="3">
                  <c:v>2021年</c:v>
                </c:pt>
                <c:pt idx="4">
                  <c:v>2022年</c:v>
                </c:pt>
              </c:strCache>
            </c:strRef>
          </c:cat>
          <c:val>
            <c:numRef>
              <c:f>'[2018-2020.xlsx]结果'!$C$27:$C$31</c:f>
              <c:numCache>
                <c:formatCode>0.0_ </c:formatCode>
                <c:ptCount val="5"/>
                <c:pt idx="0">
                  <c:v>8.5</c:v>
                </c:pt>
                <c:pt idx="1">
                  <c:v>7</c:v>
                </c:pt>
                <c:pt idx="2">
                  <c:v>2.7</c:v>
                </c:pt>
                <c:pt idx="3">
                  <c:v>6.7</c:v>
                </c:pt>
                <c:pt idx="4">
                  <c:v>2.7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0"/>
        <c:smooth val="0"/>
        <c:axId val="485346027"/>
        <c:axId val="763184291"/>
      </c:lineChart>
      <c:catAx>
        <c:axId val="55579738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84602840"/>
        <c:crosses val="autoZero"/>
        <c:auto val="1"/>
        <c:lblAlgn val="ctr"/>
        <c:lblOffset val="100"/>
        <c:noMultiLvlLbl val="0"/>
      </c:catAx>
      <c:valAx>
        <c:axId val="184602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55797384"/>
        <c:crosses val="autoZero"/>
        <c:crossBetween val="between"/>
      </c:valAx>
      <c:catAx>
        <c:axId val="485346027"/>
        <c:scaling>
          <c:orientation val="minMax"/>
        </c:scaling>
        <c:delete val="1"/>
        <c:axPos val="b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3184291"/>
        <c:crosses val="autoZero"/>
        <c:auto val="1"/>
        <c:lblAlgn val="ctr"/>
        <c:lblOffset val="100"/>
        <c:noMultiLvlLbl val="0"/>
      </c:catAx>
      <c:valAx>
        <c:axId val="763184291"/>
        <c:scaling>
          <c:orientation val="minMax"/>
        </c:scaling>
        <c:delete val="0"/>
        <c:axPos val="r"/>
        <c:numFmt formatCode="0.0_ 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5346027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200">
                <a:solidFill>
                  <a:sysClr val="windowText" lastClr="000000"/>
                </a:solidFill>
                <a:latin typeface="方正小标宋_GBK" panose="03000509000000000000" charset="-122"/>
                <a:ea typeface="方正小标宋_GBK" panose="03000509000000000000" charset="-122"/>
                <a:cs typeface="方正小标宋_GBK" panose="03000509000000000000" charset="-122"/>
              </a:rPr>
              <a:t>图2　2018―2022年三次产业增加值占全县地区生产总值比重</a:t>
            </a:r>
            <a:endParaRPr sz="1200">
              <a:solidFill>
                <a:sysClr val="windowText" lastClr="000000"/>
              </a:solidFill>
              <a:latin typeface="方正小标宋_GBK" panose="03000509000000000000" charset="-122"/>
              <a:ea typeface="方正小标宋_GBK" panose="03000509000000000000" charset="-122"/>
              <a:cs typeface="方正小标宋_GBK" panose="03000509000000000000" charset="-122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'[2018-2020.xlsx]结果'!$B$34</c:f>
              <c:strCache>
                <c:ptCount val="1"/>
                <c:pt idx="0">
                  <c:v>第一产业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'[2018-2020.xlsx]结果'!$A$35:$A$39</c:f>
              <c:strCache>
                <c:ptCount val="5"/>
                <c:pt idx="0">
                  <c:v>2018年</c:v>
                </c:pt>
                <c:pt idx="1">
                  <c:v>2019年</c:v>
                </c:pt>
                <c:pt idx="2">
                  <c:v>2020年</c:v>
                </c:pt>
                <c:pt idx="3">
                  <c:v>2021年</c:v>
                </c:pt>
                <c:pt idx="4">
                  <c:v>2022年</c:v>
                </c:pt>
              </c:strCache>
            </c:strRef>
          </c:cat>
          <c:val>
            <c:numRef>
              <c:f>'[2018-2020.xlsx]结果'!$B$35:$B$39</c:f>
              <c:numCache>
                <c:formatCode>0.0_ </c:formatCode>
                <c:ptCount val="5"/>
                <c:pt idx="0">
                  <c:v>20.8</c:v>
                </c:pt>
                <c:pt idx="1">
                  <c:v>22.5</c:v>
                </c:pt>
                <c:pt idx="2">
                  <c:v>24.1</c:v>
                </c:pt>
                <c:pt idx="3">
                  <c:v>22.5</c:v>
                </c:pt>
                <c:pt idx="4">
                  <c:v>22.3</c:v>
                </c:pt>
              </c:numCache>
            </c:numRef>
          </c:val>
        </c:ser>
        <c:ser>
          <c:idx val="1"/>
          <c:order val="1"/>
          <c:tx>
            <c:strRef>
              <c:f>'[2018-2020.xlsx]结果'!$C$34</c:f>
              <c:strCache>
                <c:ptCount val="1"/>
                <c:pt idx="0">
                  <c:v>第二产业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'[2018-2020.xlsx]结果'!$A$35:$A$39</c:f>
              <c:strCache>
                <c:ptCount val="5"/>
                <c:pt idx="0">
                  <c:v>2018年</c:v>
                </c:pt>
                <c:pt idx="1">
                  <c:v>2019年</c:v>
                </c:pt>
                <c:pt idx="2">
                  <c:v>2020年</c:v>
                </c:pt>
                <c:pt idx="3">
                  <c:v>2021年</c:v>
                </c:pt>
                <c:pt idx="4">
                  <c:v>2022年</c:v>
                </c:pt>
              </c:strCache>
            </c:strRef>
          </c:cat>
          <c:val>
            <c:numRef>
              <c:f>'[2018-2020.xlsx]结果'!$C$35:$C$39</c:f>
              <c:numCache>
                <c:formatCode>0.0_ </c:formatCode>
                <c:ptCount val="5"/>
                <c:pt idx="0">
                  <c:v>24.8</c:v>
                </c:pt>
                <c:pt idx="1">
                  <c:v>22.8</c:v>
                </c:pt>
                <c:pt idx="2">
                  <c:v>22.9</c:v>
                </c:pt>
                <c:pt idx="3">
                  <c:v>23.4</c:v>
                </c:pt>
                <c:pt idx="4">
                  <c:v>24</c:v>
                </c:pt>
              </c:numCache>
            </c:numRef>
          </c:val>
        </c:ser>
        <c:ser>
          <c:idx val="2"/>
          <c:order val="2"/>
          <c:tx>
            <c:strRef>
              <c:f>'[2018-2020.xlsx]结果'!$D$34</c:f>
              <c:strCache>
                <c:ptCount val="1"/>
                <c:pt idx="0">
                  <c:v>第三产业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'[2018-2020.xlsx]结果'!$A$35:$A$39</c:f>
              <c:strCache>
                <c:ptCount val="5"/>
                <c:pt idx="0">
                  <c:v>2018年</c:v>
                </c:pt>
                <c:pt idx="1">
                  <c:v>2019年</c:v>
                </c:pt>
                <c:pt idx="2">
                  <c:v>2020年</c:v>
                </c:pt>
                <c:pt idx="3">
                  <c:v>2021年</c:v>
                </c:pt>
                <c:pt idx="4">
                  <c:v>2022年</c:v>
                </c:pt>
              </c:strCache>
            </c:strRef>
          </c:cat>
          <c:val>
            <c:numRef>
              <c:f>'[2018-2020.xlsx]结果'!$D$35:$D$39</c:f>
              <c:numCache>
                <c:formatCode>0.0_ </c:formatCode>
                <c:ptCount val="5"/>
                <c:pt idx="0">
                  <c:v>54.4</c:v>
                </c:pt>
                <c:pt idx="1">
                  <c:v>54.7</c:v>
                </c:pt>
                <c:pt idx="2">
                  <c:v>53</c:v>
                </c:pt>
                <c:pt idx="3">
                  <c:v>54.1</c:v>
                </c:pt>
                <c:pt idx="4">
                  <c:v>53.7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100"/>
        <c:axId val="273360721"/>
        <c:axId val="922793991"/>
      </c:barChart>
      <c:catAx>
        <c:axId val="27336072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22793991"/>
        <c:crosses val="autoZero"/>
        <c:auto val="1"/>
        <c:lblAlgn val="ctr"/>
        <c:lblOffset val="100"/>
        <c:noMultiLvlLbl val="0"/>
      </c:catAx>
      <c:valAx>
        <c:axId val="9227939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7336072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>
                <a:solidFill>
                  <a:schemeClr val="tx1"/>
                </a:solidFill>
                <a:latin typeface="方正小标宋_GBK" panose="03000509000000000000" charset="-122"/>
                <a:ea typeface="方正小标宋_GBK" panose="03000509000000000000" charset="-122"/>
                <a:cs typeface="方正小标宋_GBK" panose="03000509000000000000" charset="-122"/>
              </a:rPr>
              <a:t>图</a:t>
            </a:r>
            <a:r>
              <a:rPr lang="en-US" altLang="zh-CN">
                <a:solidFill>
                  <a:schemeClr val="tx1"/>
                </a:solidFill>
                <a:latin typeface="方正小标宋_GBK" panose="03000509000000000000" charset="-122"/>
                <a:ea typeface="方正小标宋_GBK" panose="03000509000000000000" charset="-122"/>
                <a:cs typeface="方正小标宋_GBK" panose="03000509000000000000" charset="-122"/>
              </a:rPr>
              <a:t>3      </a:t>
            </a:r>
            <a:r>
              <a:rPr>
                <a:solidFill>
                  <a:schemeClr val="tx1"/>
                </a:solidFill>
                <a:latin typeface="方正小标宋_GBK" panose="03000509000000000000" charset="-122"/>
                <a:ea typeface="方正小标宋_GBK" panose="03000509000000000000" charset="-122"/>
                <a:cs typeface="方正小标宋_GBK" panose="03000509000000000000" charset="-122"/>
              </a:rPr>
              <a:t>2022年全县居民人均消费支出及其构成</a:t>
            </a:r>
            <a:endParaRPr>
              <a:solidFill>
                <a:schemeClr val="tx1"/>
              </a:solidFill>
              <a:latin typeface="方正小标宋_GBK" panose="03000509000000000000" charset="-122"/>
              <a:ea typeface="方正小标宋_GBK" panose="03000509000000000000" charset="-122"/>
              <a:cs typeface="方正小标宋_GBK" panose="03000509000000000000" charset="-122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2.0</a:t>
                    </a:r>
                    <a:r>
                      <a:rPr lang="en-US" altLang="zh-CN"/>
                      <a:t>%</a:t>
                    </a:r>
                    <a:endParaRPr lang="en-US" altLang="zh-CN"/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0.0507662597271406"/>
                  <c:y val="0.141834988166872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7.5%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876388888888889"/>
                      <c:h val="0.128009259259259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-0.0729166666666667"/>
                  <c:y val="0.0381944444444444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6.6%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8.4%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0.00585333548312494"/>
                  <c:y val="-0.118236925499544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6.5%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733333333333333"/>
                      <c:h val="0.136111111111111"/>
                    </c:manualLayout>
                  </c15:layout>
                </c:ext>
              </c:extLst>
            </c:dLbl>
            <c:dLbl>
              <c:idx val="5"/>
              <c:layout>
                <c:manualLayout>
                  <c:x val="0.0727453162260184"/>
                  <c:y val="-0.0995074045490626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9.4%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936111111111111"/>
                      <c:h val="0.128240740740741"/>
                    </c:manualLayout>
                  </c15:layout>
                </c:ext>
              </c:extLst>
            </c:dLbl>
            <c:dLbl>
              <c:idx val="6"/>
              <c:layout>
                <c:manualLayout>
                  <c:x val="0.0835314934280715"/>
                  <c:y val="0.0396493910367412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6.8%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840277777777778"/>
                      <c:h val="0.120833333333333"/>
                    </c:manualLayout>
                  </c15:layout>
                </c:ext>
              </c:extLst>
            </c:dLbl>
            <c:dLbl>
              <c:idx val="7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t>10.2%</a:t>
                    </a:r>
                  </a:p>
                  <a:p>
                    <a:pPr defTabSz="914400">
                      <a:defRPr lang="zh-CN"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'[11城乡居民收支(1).xls]城乡居民支出'!$A$7:$B$14</c:f>
              <c:multiLvlStrCache>
                <c:ptCount val="8"/>
                <c:lvl>
                  <c:pt idx="0" c:formatCode="0_ ">
                    <c:v>5554元</c:v>
                  </c:pt>
                  <c:pt idx="1" c:formatCode="0_ ">
                    <c:v>1134元</c:v>
                  </c:pt>
                  <c:pt idx="2" c:formatCode="0_ ">
                    <c:v>3552元</c:v>
                  </c:pt>
                  <c:pt idx="3" c:formatCode="0_ ">
                    <c:v>1381元</c:v>
                  </c:pt>
                  <c:pt idx="4" c:formatCode="0_ ">
                    <c:v>1300元</c:v>
                  </c:pt>
                  <c:pt idx="5" c:formatCode="0_ ">
                    <c:v>1050元</c:v>
                  </c:pt>
                  <c:pt idx="6" c:formatCode="0_ ">
                    <c:v>958元</c:v>
                  </c:pt>
                  <c:pt idx="7" c:formatCode="0_ ">
                    <c:v>252元</c:v>
                  </c:pt>
                </c:lvl>
                <c:lvl>
                  <c:pt idx="0" c:formatCode="0_ ">
                    <c:v>食品烟酒</c:v>
                  </c:pt>
                  <c:pt idx="1" c:formatCode="0_ ">
                    <c:v>衣着</c:v>
                  </c:pt>
                  <c:pt idx="2" c:formatCode="0_ ">
                    <c:v>居住</c:v>
                  </c:pt>
                  <c:pt idx="3" c:formatCode="0_ ">
                    <c:v>生活用品及服务</c:v>
                  </c:pt>
                  <c:pt idx="4" c:formatCode="0_ ">
                    <c:v>交通通信</c:v>
                  </c:pt>
                  <c:pt idx="5" c:formatCode="0_ ">
                    <c:v>教育文化娱乐</c:v>
                  </c:pt>
                  <c:pt idx="6" c:formatCode="0_ ">
                    <c:v>医疗保健</c:v>
                  </c:pt>
                  <c:pt idx="7" c:formatCode="0_ ">
                    <c:v>其他用品和服务</c:v>
                  </c:pt>
                </c:lvl>
              </c:multiLvlStrCache>
            </c:multiLvlStrRef>
          </c:cat>
          <c:val>
            <c:numRef>
              <c:f>'[11城乡居民收支(1).xls]城乡居民支出'!$C$7:$C$14</c:f>
              <c:numCache>
                <c:formatCode>0.0_ </c:formatCode>
                <c:ptCount val="8"/>
                <c:pt idx="0">
                  <c:v>2.04594091441324</c:v>
                </c:pt>
                <c:pt idx="1">
                  <c:v>7.48740108714516</c:v>
                </c:pt>
                <c:pt idx="2">
                  <c:v>6.58042490382273</c:v>
                </c:pt>
                <c:pt idx="3">
                  <c:v>8.35669160431025</c:v>
                </c:pt>
                <c:pt idx="4">
                  <c:v>6.53147203225968</c:v>
                </c:pt>
                <c:pt idx="5">
                  <c:v>9.35464961848878</c:v>
                </c:pt>
                <c:pt idx="6">
                  <c:v>6.75433604131641</c:v>
                </c:pt>
                <c:pt idx="7">
                  <c:v>10.1877622243403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2023-02-23T00:28:00Z</dcterms:created>
  <dc:creator>Administrator</dc:creator>
  <cp:lastModifiedBy>Administrator</cp:lastModifiedBy>
  <cp:lastPrinted>2023-03-23T09:49:00Z</cp:lastPrinted>
  <dcterms:modified xsi:type="dcterms:W3CDTF">2023-03-30T08:53:18Z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