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64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</w:rPr>
        <w:t>巫溪县2024年国民经济和社会发展统计公报</w:t>
      </w:r>
      <w:bookmarkEnd w:id="0"/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64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2024年是中华人民共和国成立75周年，是实现“十四五”规划目标任务的关键一年。面对复杂严峻的外部环境和国内经济运行中的新情况新问题，在以习近平同志为核心的党中央坚强领导下，全县上下全面贯彻落实党的二十大和二十届二中、三中全会精神，深化落实党中央、国务院决策部署和市委、市政府工作要求，坚持稳中求进工作总基调，完整准确全面贯彻新发展理念，加快构建新发展格局，着力推动高质量发展，国民经济运行总体平稳、稳中有进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一、综合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初步核算，全年全县实现地区生产总值155.3亿元，同比增长5.2%。按产业分，第一产业增加值28.9亿元，增长1.3%；第二产业增加值37.5亿元，增长5.7%；第三产业增加值89.0亿元，增长6.5%。三次产业结构比为18.6：24.1：57.3。全年人均地区生产总值达到41227元，同比增长6.2%。民营经济增加值101.4亿元，增长5.2%，占全县经济总量的65.3%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年末，全县常住人口37.67万人。其中，城镇常住人口16.14万人。常住人口城镇化率为42.85%，比上年末提高0.62个百分点。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全年出生人口2662人，出生率为7.07‰；死亡人口3825人，死亡率为10.15‰；人口自然增长率为-3.08‰。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城镇新增就业3079人，同比增长1.2%。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二、农业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全年全县农林牧渔业总产值47.2亿元，同比增长1.8%。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粮食播种面积88.6万亩，同比增长0.3%。粮食综合单产273.7公斤/亩，同比增长0.6%。全年粮食产量24.2万吨，同比增长1.0%。其中，夏粮产量7.7万吨，增长1.5%；秋粮产量16.5万吨，增长0.7%。全年谷物产量10.4万吨，同比增长0.6%。其中，稻谷产量1.2万吨，下降2.9%；玉米产量9.1万吨，增长1.1%；小麦产量23.3吨，下降77.6%。油料产量1.5万吨，增长2.7%。茶叶产量920.7吨，增产0.3%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drawing>
          <wp:inline distT="0" distB="0" distL="114300" distR="114300">
            <wp:extent cx="5372100" cy="2705100"/>
            <wp:effectExtent l="0" t="0" r="0" b="0"/>
            <wp:docPr id="1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全年猪肉产量4.8万吨，同比下降2.0%。牛肉产量0.1万吨，同比增长2.7%，禽肉产量0.4万吨，同比下降8.0%。年末生猪存栏29.8万头，同比下降16.4%；生猪出栏57.4万头，同比下降4.8%。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三、工业和建筑业  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   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全年实现工业增加值16.1亿元，同比增长4.0%。规模以上工业增加值同比增长7.5%。分门类看，采矿业下降9.8%，制造业增长8.5%，电力、热力、燃气及水生产和供应业下降2.3%。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全年建筑业增加值21.4亿元，同比增长7.2%。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四、服务业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批发和零售业增加值14.3亿元，同比增长8.8%；交通运输、仓储和邮政业增加值1.5亿元，同比增长11.6%；住宿和餐饮业增加值5.5亿元，同比增长5.4%；金融业增加值9.4亿元，同比增长1.0%；房地产业增加值8.8亿元，同比增长1.0%；其他服务业增加值47.3亿元，同比增长7.9%。全年规模以上服务业企业营业收入3.1亿元，同比增长8.7%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全年货物运输总量417万吨，同比增长0.45%，货物运输周转量38679万吨公里，同比增长4.6%。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全年旅客运输总量147万人次，同比下降4.5%。旅客运输周转量8920万人公里，同比下降2.0%。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年末全县车辆保有量13.3万辆，同比增加0.3%。其中载客汽车6.3万辆，载货汽车0.9万辆，摩托车6.2万辆，新能源车0.3万辆。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全年完成邮政行业业务总量1.1亿元，同比增长8.2%。全年完成邮政函件业务21197件，包裹业务443706件。全年完成邮政行业业务收入1.1亿元，同比下降5.9%。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全年完成电信业务总量1.4亿元，同比增长11.1%。全县固定电话用户50844户，移动电话用户170660户。所有互联网用户121892户。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五、国内贸易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全年社会消费品零售总额84.6亿元，同比增长3.7%。按经营地统计，城镇消费品零售额增长5.3%，乡村消费品零售额增长0.9%。按限额以上单位消费类型分，商品零售36.5亿元，增长4.8%；餐饮收入3.8亿元，增长8.4%。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    在限额以上单位商品零售额中，粮油、食品类商品零售额同比下降8.2%，饮料类商品增长64.6%，烟酒类商品增长19.3%，服装、鞋帽、针纺织品类商品增长19.7%，化妆品类商品增长157.4%，金银珠宝类商品增长26.9%，日用品类商品下降9.6%，体育、娱乐用品类商品增长7.7%，家用电器和音像器材类商品增长4.8%，中西药品类商品增长23.9%，文化办公用品类商品增长12.1%，家具类商品增长11.1%，通讯器材类商品增长27.3%，建筑及装潢材料类商品增长3.7%，石油及制品类商品增长5.8%，汽车类商品下降7.6%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六、固定资产投资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全县固定资产投资同比增长5.6%。其中，民间投资（不含房地产）增长126.3%。分产业看，第一产业下降23.0%；第二产业增长60.0%；第三产业增长2.3%。分领域看，工业投资增长60.0%；基础设施投资增长3.1%；房地产投资11.8亿元，同比下降26.2%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七、对外经济</w:t>
      </w:r>
    </w:p>
    <w:p>
      <w:pPr>
        <w:pStyle w:val="5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85" w:lineRule="atLeast"/>
        <w:ind w:left="0" w:right="0" w:firstLine="645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全年货物进出口总额288.23万元，同比增长199.4%。建成并投入使用出口基地3个，新企业获批进出口资质9家。从物流补贴、参展补贴等方面支持资金共计25万元。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八、财政金融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全年全县一般公共预算收入13.5亿元，同比增长14.6%。其中税收收入4.2亿元，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增长2.2%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。一般公共预算支出完成68.2亿元，增长35.4%。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年末全县金融机构本外币存款余额295.0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同比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增长5.9%，其中，人民币存款余额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295.0亿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元，增长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5.9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%。金融机构本外币贷款余额209.1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同比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增长5.8%，其中，人民币贷款余额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209.1亿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元，增长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5.8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</w:rPr>
        <w:t>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全年保费总收入5.9亿元。其中，财产保险收入2.5亿元；人身保险收入3.4亿元。全年赔付各类保险金3.5亿元，其中，财产保险赔付1.7亿元；人身保险赔付1.8亿元。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九、居民收入消费和社会保障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全县居民人均可支配收入23305元，同比增长5.7%。按常住地分，城镇居民人均可支配收入34637元，增长4.0%；农村居民人均可支配收入15021元，增长6.7%。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县居民人均消费支出16623元，同比增长4.9%。按常住地分，城镇居民人均消费支出21723元，增长3.7%；农村居民人均消费支出12896元，增长5.4%。全县居民恩格尔系数为35.2%，同比下降0.8个百分点，其中，城镇为33.5%，农村为37.2%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</w:p>
    <w:tbl>
      <w:tblPr>
        <w:tblStyle w:val="6"/>
        <w:tblW w:w="852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50" w:type="dxa"/>
          <w:bottom w:w="75" w:type="dxa"/>
          <w:right w:w="150" w:type="dxa"/>
        </w:tblCellMar>
      </w:tblPr>
      <w:tblGrid>
        <w:gridCol w:w="3025"/>
        <w:gridCol w:w="2792"/>
        <w:gridCol w:w="270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25" w:hRule="atLeast"/>
          <w:jc w:val="center"/>
        </w:trPr>
        <w:tc>
          <w:tcPr>
            <w:tcW w:w="830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表2  2024年居民人均可支配收入及其增长速度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780" w:hRule="atLeast"/>
          <w:jc w:val="center"/>
        </w:trPr>
        <w:tc>
          <w:tcPr>
            <w:tcW w:w="2949" w:type="dxa"/>
            <w:tcBorders>
              <w:top w:val="single" w:color="auto" w:sz="6" w:space="0"/>
              <w:left w:val="outset" w:color="auto" w:sz="6" w:space="0"/>
              <w:bottom w:val="single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指标名称</w:t>
            </w:r>
          </w:p>
        </w:tc>
        <w:tc>
          <w:tcPr>
            <w:tcW w:w="2722" w:type="dxa"/>
            <w:tcBorders>
              <w:top w:val="single" w:color="auto" w:sz="6" w:space="0"/>
              <w:left w:val="outset" w:color="auto" w:sz="6" w:space="0"/>
              <w:bottom w:val="single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绝对量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（元）</w:t>
            </w:r>
          </w:p>
        </w:tc>
        <w:tc>
          <w:tcPr>
            <w:tcW w:w="2203" w:type="dxa"/>
            <w:tcBorders>
              <w:top w:val="single" w:color="auto" w:sz="6" w:space="0"/>
              <w:left w:val="outset" w:color="auto" w:sz="6" w:space="0"/>
              <w:bottom w:val="single" w:color="auto" w:sz="6" w:space="0"/>
              <w:right w:val="outset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增幅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（%）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全体居民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人均可支配收入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23305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5.7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 其中：工资性收入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12702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 经营净收入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6297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5.1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       财产净收入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945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7.6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       转移净收入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3360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5.3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城镇居民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人均可支配收入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34637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4.0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 其中：工资性收入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23195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4.1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 经营净收入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5960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3.1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 财产净收入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1715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       转移净收入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3768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3.5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农村居民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人均可支配收入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15021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 其中：工资性收入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5032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       经营净收入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6544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       财产净收入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383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2949" w:type="dxa"/>
            <w:tcBorders>
              <w:top w:val="outset" w:color="auto" w:sz="6" w:space="0"/>
              <w:left w:val="outset" w:color="auto" w:sz="6" w:space="0"/>
              <w:bottom w:val="single" w:color="auto" w:sz="6" w:space="0"/>
              <w:right w:val="single" w:color="auto" w:sz="6" w:space="0"/>
            </w:tcBorders>
            <w:shd w:val="clear" w:color="auto" w:fill="E7E6E6"/>
            <w:noWrap w:val="0"/>
            <w:tcMar>
              <w:top w:w="75" w:type="dxa"/>
              <w:left w:w="108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       转移净收入</w:t>
            </w:r>
          </w:p>
        </w:tc>
        <w:tc>
          <w:tcPr>
            <w:tcW w:w="2722" w:type="dxa"/>
            <w:tcBorders>
              <w:top w:val="outset" w:color="auto" w:sz="6" w:space="0"/>
              <w:left w:val="outset" w:color="auto" w:sz="6" w:space="0"/>
              <w:bottom w:val="single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3061</w:t>
            </w:r>
          </w:p>
        </w:tc>
        <w:tc>
          <w:tcPr>
            <w:tcW w:w="2203" w:type="dxa"/>
            <w:tcBorders>
              <w:top w:val="outset" w:color="auto" w:sz="6" w:space="0"/>
              <w:left w:val="outset" w:color="auto" w:sz="6" w:space="0"/>
              <w:bottom w:val="single" w:color="auto" w:sz="6" w:space="0"/>
              <w:right w:val="outset" w:color="auto" w:sz="6" w:space="0"/>
            </w:tcBorders>
            <w:shd w:val="clear" w:color="auto" w:fill="FFFFFF"/>
            <w:noWrap w:val="0"/>
            <w:tcMar>
              <w:top w:w="75" w:type="dxa"/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6.6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right="0" w:firstLine="640" w:firstLineChars="20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县城镇职工基本养老保险参保人数9.6万人，同比增长2.6%。城乡居民基本养老保险参保人数 28.4万人，同比下降1.5%。城镇职工基本医疗保险参保人数3.9万人，城乡居民合作医疗保险参保人数39.7万人，基本医疗保险参保率98.0%。生育保险参保人数2.3万人，享受生育保险待遇2520人次。工伤保险参保人数4.1万人。失业保险参保人数1.5万人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末全县共有2162人享受城镇居民最低生活保障，15218人享受农村居民最低生活保障。城市特困人员救助供养人数80人，农村特困人员救助供养人数3028人。全年特殊人群参保人数为124189人，居民医保全额资助困难群众14971人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    城市居民最低生活保障标准为750元/月，农村居民最低生活保障标准为610元/月，特困人员救助供养标准为975元/月，孤儿补助标准1625元/月。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十、科学技术和教育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科研机构数4个，科技项目立项15个，引进推广科技成果15个，授权专利数69件，授权发明专利3件。2023年，全县共投入研究与试验发展（R&amp;D）经费1516万元，研究与试验发展（R&amp;D）经费投入强度（与地区生产总值之比）为0.12%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全县共有普通高中教育学校4所，中等职业学校2所，普通初中15所，普通小学74所，幼儿园56所，特殊教育学校1所。高中阶段教育毛入学率 96.2 %，小学学龄儿童净入学率为99.5%。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十一、文化旅游、卫生健康和体育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全年文化及相关产业增加值3.1亿元，同比增长6.6%，占地区生产总值比重为2.0%。全县共有博物馆2个，公共图书馆1个，文化站32个，体育馆1个。公共图书馆总藏量28.2万册，文化事业经费2232.8万元。 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48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旅游及相关产业增加值7.7亿元，同比增长7.7%，占地区生产总值比重为4.9%。年末全县拥有国家A级景区14个，其中，4A级景区3个，3A级景区6个，2A级景区4个。全年入境旅游者269人次，增长4.7%；国内旅游者1343.5万人次，增长15.6%；国内接待游客总花费70.0亿元，增长16.6%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末全县共有各级各类医疗卫生机构294个，其中，县属医疗机构4个，民营医院9个，疾控中心1个，妇幼保健院1个，乡镇卫生院及社区卫生服务中心32个，村卫生室247个。医疗卫生机构床位数2695张。其中，医院床位数1715张，卫生院床位980张。全县共有医疗卫生机构卫生技术人员2324人。其中，执业医师和执业助理医师注册人数为1080人，注册护士注册人数为1244人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年末，全县体育场地1895个，体育场地总面积117.9万平方米，人均体育场地面积3.1平方米。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</w:rPr>
        <w:t>十二、资源、环境和应急管理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全年规模以上工业综合能源消费量同比增长8.1%。全社会用电量增长3.5%。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全年水资源总量42.5亿立方米。总用水量4948万吨，同比下降0.7%。其中，生活用水增长2.8%。年平均降雨量1364毫米。全年总用水量4948万吨。治理水土流失面积110.2平方公里。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全县自然保护区1个。其中，国家级自然保护区1个。当年造林面积0.4万亩。全县森林覆盖率70.2%。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全年城区空气质量优良天数352天。城市空气质量达标率94.3%。饮用水源水质达标率100%，城区区域环境噪声平均值52.6分贝。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96" w:lineRule="atLeast"/>
        <w:ind w:left="0" w:right="0" w:firstLine="64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全年生产安全事故死亡人数8人（含道路运输事故次责及以下），同比下降11.1%。交通事故死亡人数1人，下降80%。未发生较大生产安全事故。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FF"/>
          <w:spacing w:val="0"/>
          <w:sz w:val="32"/>
          <w:szCs w:val="32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注释：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1.本公报中2024年数据均为初步统计数，部分数据因四舍五入的原因，存在与分项合计不等的情况。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2.地区生产总值、三次产业及相关行业增加值、人均地区生产总值、农林牧渔业总产值绝对数按现价计算，增长速度按可比价计算。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3.其他服务业包括农、林、牧、渔专业及辅助性活动，信息传输、软件和信息技术服务业，租赁和商务服务业，科学研究和技术服务业，水利、环境和公共设施管理业，居民服务、修理和其他服务业，教育，卫生和社会工作，文化、体育和娱乐业，公共管理、社会保障和社会组织等行业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4.行业统计标准：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规模以上工业：年主营业务收入2000万元及以上的工业法人单位。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有资质的建筑业：有总承包和专业承包资质的建筑业法人单位。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限额以上批发和零售业：年主营业务收入2000万元及以上的批发业、年主营业务收入500万元及以上的零售业企业（单位）。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限额以上住宿和餐饮业：年主营业务收入200万元及以上的住宿和餐饮业企业（单位）。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房地产开发经营业：全部房地产开发经营业法人单位。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规模以上服务业：年营业收入2000万元及以上服务业法人单位。包括：交通运输、仓储和邮政业，信息传输、软件和信息技术服务业，水利、环境和公共设施管理业三个门类和卫生行业大类。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年营业收入1000万元及以上服务业法人单位。包括：租赁和商务服务业、科学研究和技术服务业、教育三个门类，以及物业管理、房地产中介服务、房地产租赁经营和其他房地产业四个行业大类。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年营业收入500万元及以上服务业法人单位。包括：居民服务、修理和其他服务业，文化、体育和娱乐业两个门类，以及社会工作行业大类。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2098" w:right="1474" w:bottom="1984" w:left="1587" w:header="720" w:footer="720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altName w:val="Noto Serif CJK JP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true"/>
  <w:drawingGridHorizontalOrigin w:val="0"/>
  <w:drawingGridVerticalOrigin w:val="0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7F9869"/>
    <w:rsid w:val="7B4FF8EA"/>
    <w:rsid w:val="E7EE9438"/>
    <w:rsid w:val="FBBCA0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uiPriority w:val="0"/>
    <w:pPr>
      <w:spacing w:before="0" w:after="140" w:line="276" w:lineRule="auto"/>
    </w:pPr>
  </w:style>
  <w:style w:type="paragraph" w:styleId="4">
    <w:name w:val="List"/>
    <w:basedOn w:val="3"/>
    <w:uiPriority w:val="0"/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默认段落字体1"/>
    <w:uiPriority w:val="0"/>
  </w:style>
  <w:style w:type="paragraph" w:customStyle="1" w:styleId="9">
    <w:name w:val="Heading"/>
    <w:basedOn w:val="1"/>
    <w:next w:val="3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0">
    <w:name w:val="Index"/>
    <w:basedOn w:val="1"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5.33333333333333</TotalTime>
  <ScaleCrop>false</ScaleCrop>
  <LinksUpToDate>false</LinksUpToDate>
  <Application>WPS Office_11.8.2.10505_F1E327BC-269C-435d-A152-05C5408002CA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2018-11-27T09:47:00Z</dcterms:created>
  <dc:creator>guest</dc:creator>
  <cp:lastModifiedBy> </cp:lastModifiedBy>
  <dcterms:modified xsi:type="dcterms:W3CDTF">2025-05-21T17:05:02Z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