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9714BB">
      <w:pPr>
        <w:jc w:val="center"/>
        <w:rPr>
          <w:rFonts w:hint="default" w:ascii="Times New Roman" w:hAnsi="Times New Roman" w:eastAsia="方正小标宋_GBK" w:cs="Times New Roman"/>
          <w:color w:val="auto"/>
          <w:sz w:val="44"/>
          <w:szCs w:val="44"/>
          <w:vertAlign w:val="baseline"/>
          <w:lang w:val="en-US" w:eastAsia="zh-CN"/>
        </w:rPr>
      </w:pPr>
      <w:r>
        <w:rPr>
          <w:rFonts w:hint="eastAsia" w:ascii="Times New Roman" w:hAnsi="Times New Roman" w:eastAsia="方正小标宋_GBK" w:cs="Times New Roman"/>
          <w:color w:val="auto"/>
          <w:sz w:val="44"/>
          <w:szCs w:val="44"/>
          <w:vertAlign w:val="baseline"/>
          <w:lang w:eastAsia="zh-CN"/>
        </w:rPr>
        <w:t>巫溪</w:t>
      </w:r>
      <w:r>
        <w:rPr>
          <w:rFonts w:hint="default" w:ascii="Times New Roman" w:hAnsi="Times New Roman" w:eastAsia="方正小标宋_GBK" w:cs="Times New Roman"/>
          <w:color w:val="auto"/>
          <w:sz w:val="44"/>
          <w:szCs w:val="44"/>
          <w:vertAlign w:val="baseline"/>
          <w:lang w:eastAsia="zh-CN"/>
        </w:rPr>
        <w:t>县应急管理局</w:t>
      </w:r>
      <w:r>
        <w:rPr>
          <w:rFonts w:hint="default" w:ascii="Times New Roman" w:hAnsi="Times New Roman" w:eastAsia="方正小标宋_GBK" w:cs="Times New Roman"/>
          <w:color w:val="auto"/>
          <w:sz w:val="44"/>
          <w:szCs w:val="44"/>
          <w:vertAlign w:val="baseline"/>
          <w:lang w:val="en-US" w:eastAsia="zh-CN"/>
        </w:rPr>
        <w:t>202</w:t>
      </w:r>
      <w:r>
        <w:rPr>
          <w:rFonts w:hint="eastAsia" w:ascii="Times New Roman" w:hAnsi="Times New Roman" w:eastAsia="方正小标宋_GBK" w:cs="Times New Roman"/>
          <w:color w:val="auto"/>
          <w:sz w:val="44"/>
          <w:szCs w:val="44"/>
          <w:vertAlign w:val="baseline"/>
          <w:lang w:val="en-US" w:eastAsia="zh-CN"/>
        </w:rPr>
        <w:t>5</w:t>
      </w:r>
      <w:r>
        <w:rPr>
          <w:rFonts w:hint="default" w:ascii="Times New Roman" w:hAnsi="Times New Roman" w:eastAsia="方正小标宋_GBK" w:cs="Times New Roman"/>
          <w:color w:val="auto"/>
          <w:sz w:val="44"/>
          <w:szCs w:val="44"/>
          <w:vertAlign w:val="baseline"/>
          <w:lang w:val="en-US" w:eastAsia="zh-CN"/>
        </w:rPr>
        <w:t>年行政处罚情况</w:t>
      </w:r>
    </w:p>
    <w:p w14:paraId="0DEB5E1D">
      <w:pPr>
        <w:jc w:val="center"/>
        <w:rPr>
          <w:rFonts w:hint="eastAsia" w:ascii="Times New Roman" w:hAnsi="Times New Roman" w:eastAsia="方正小标宋_GBK" w:cs="Times New Roman"/>
          <w:color w:val="auto"/>
          <w:sz w:val="44"/>
          <w:szCs w:val="44"/>
          <w:vertAlign w:val="baseline"/>
          <w:lang w:val="en-US" w:eastAsia="zh-CN"/>
        </w:rPr>
      </w:pPr>
      <w:r>
        <w:rPr>
          <w:rFonts w:hint="eastAsia" w:ascii="Times New Roman" w:hAnsi="Times New Roman" w:eastAsia="方正小标宋_GBK" w:cs="Times New Roman"/>
          <w:color w:val="auto"/>
          <w:sz w:val="44"/>
          <w:szCs w:val="44"/>
          <w:vertAlign w:val="baseline"/>
          <w:lang w:val="en-US" w:eastAsia="zh-CN"/>
        </w:rPr>
        <w:t>（4月）</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9"/>
        <w:gridCol w:w="1464"/>
        <w:gridCol w:w="1776"/>
        <w:gridCol w:w="1440"/>
        <w:gridCol w:w="2355"/>
        <w:gridCol w:w="1705"/>
        <w:gridCol w:w="1759"/>
        <w:gridCol w:w="1188"/>
        <w:gridCol w:w="954"/>
        <w:gridCol w:w="1020"/>
      </w:tblGrid>
      <w:tr w14:paraId="6FFF30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9" w:type="dxa"/>
            <w:vAlign w:val="center"/>
          </w:tcPr>
          <w:p w14:paraId="688F102D">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b/>
                <w:bCs/>
                <w:i w:val="0"/>
                <w:iCs w:val="0"/>
                <w:caps w:val="0"/>
                <w:color w:val="auto"/>
                <w:spacing w:val="0"/>
                <w:kern w:val="2"/>
                <w:sz w:val="21"/>
                <w:szCs w:val="21"/>
                <w:shd w:val="clear" w:fill="FFFFFF"/>
                <w:lang w:val="en-US" w:eastAsia="zh-CN" w:bidi="ar-SA"/>
              </w:rPr>
            </w:pPr>
            <w:r>
              <w:rPr>
                <w:rStyle w:val="5"/>
                <w:rFonts w:hint="default" w:ascii="Times New Roman" w:hAnsi="Times New Roman" w:eastAsia="宋体" w:cs="Times New Roman"/>
                <w:b/>
                <w:bCs/>
                <w:i w:val="0"/>
                <w:iCs w:val="0"/>
                <w:caps w:val="0"/>
                <w:color w:val="auto"/>
                <w:spacing w:val="0"/>
                <w:sz w:val="21"/>
                <w:szCs w:val="21"/>
                <w:shd w:val="clear" w:fill="FFFFFF"/>
                <w:lang w:eastAsia="zh-CN"/>
              </w:rPr>
              <w:t>序号</w:t>
            </w:r>
          </w:p>
        </w:tc>
        <w:tc>
          <w:tcPr>
            <w:tcW w:w="1464" w:type="dxa"/>
            <w:vAlign w:val="center"/>
          </w:tcPr>
          <w:p w14:paraId="5A766B22">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b/>
                <w:bCs/>
                <w:i w:val="0"/>
                <w:iCs w:val="0"/>
                <w:caps w:val="0"/>
                <w:color w:val="auto"/>
                <w:spacing w:val="0"/>
                <w:kern w:val="2"/>
                <w:sz w:val="21"/>
                <w:szCs w:val="21"/>
                <w:shd w:val="clear" w:fill="FFFFFF"/>
                <w:lang w:val="en-US" w:eastAsia="zh-CN" w:bidi="ar-SA"/>
              </w:rPr>
            </w:pPr>
            <w:r>
              <w:rPr>
                <w:rStyle w:val="5"/>
                <w:rFonts w:hint="default" w:ascii="Times New Roman" w:hAnsi="Times New Roman" w:eastAsia="宋体" w:cs="Times New Roman"/>
                <w:b/>
                <w:bCs/>
                <w:i w:val="0"/>
                <w:iCs w:val="0"/>
                <w:caps w:val="0"/>
                <w:color w:val="auto"/>
                <w:spacing w:val="0"/>
                <w:sz w:val="21"/>
                <w:szCs w:val="21"/>
                <w:shd w:val="clear" w:fill="FFFFFF"/>
              </w:rPr>
              <w:t>行政处罚决定书文号</w:t>
            </w:r>
          </w:p>
        </w:tc>
        <w:tc>
          <w:tcPr>
            <w:tcW w:w="1776" w:type="dxa"/>
            <w:vAlign w:val="center"/>
          </w:tcPr>
          <w:p w14:paraId="4603432B">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b/>
                <w:bCs/>
                <w:i w:val="0"/>
                <w:iCs w:val="0"/>
                <w:caps w:val="0"/>
                <w:color w:val="auto"/>
                <w:spacing w:val="0"/>
                <w:kern w:val="2"/>
                <w:sz w:val="21"/>
                <w:szCs w:val="21"/>
                <w:shd w:val="clear" w:fill="FFFFFF"/>
                <w:lang w:val="en-US" w:eastAsia="zh-CN" w:bidi="ar-SA"/>
              </w:rPr>
            </w:pPr>
            <w:r>
              <w:rPr>
                <w:rStyle w:val="5"/>
                <w:rFonts w:hint="default" w:ascii="Times New Roman" w:hAnsi="Times New Roman" w:eastAsia="宋体" w:cs="Times New Roman"/>
                <w:b/>
                <w:bCs/>
                <w:i w:val="0"/>
                <w:iCs w:val="0"/>
                <w:caps w:val="0"/>
                <w:color w:val="auto"/>
                <w:spacing w:val="0"/>
                <w:sz w:val="21"/>
                <w:szCs w:val="21"/>
                <w:shd w:val="clear" w:fill="FFFFFF"/>
              </w:rPr>
              <w:t>案件名称</w:t>
            </w:r>
          </w:p>
        </w:tc>
        <w:tc>
          <w:tcPr>
            <w:tcW w:w="1440" w:type="dxa"/>
            <w:vAlign w:val="center"/>
          </w:tcPr>
          <w:p w14:paraId="022AE779">
            <w:pPr>
              <w:keepNext w:val="0"/>
              <w:keepLines w:val="0"/>
              <w:suppressLineNumbers w:val="0"/>
              <w:spacing w:before="0" w:beforeAutospacing="0" w:after="0" w:afterAutospacing="0" w:line="240" w:lineRule="auto"/>
              <w:ind w:left="0" w:right="0"/>
              <w:jc w:val="center"/>
              <w:rPr>
                <w:rStyle w:val="5"/>
                <w:rFonts w:hint="default" w:ascii="Times New Roman" w:hAnsi="Times New Roman" w:eastAsia="宋体" w:cs="Times New Roman"/>
                <w:b/>
                <w:bCs/>
                <w:i w:val="0"/>
                <w:iCs w:val="0"/>
                <w:caps w:val="0"/>
                <w:color w:val="auto"/>
                <w:spacing w:val="0"/>
                <w:sz w:val="21"/>
                <w:szCs w:val="21"/>
                <w:shd w:val="clear" w:fill="FFFFFF"/>
              </w:rPr>
            </w:pPr>
            <w:r>
              <w:rPr>
                <w:rStyle w:val="5"/>
                <w:rFonts w:hint="default" w:ascii="Times New Roman" w:hAnsi="Times New Roman" w:eastAsia="宋体" w:cs="Times New Roman"/>
                <w:b/>
                <w:bCs/>
                <w:i w:val="0"/>
                <w:iCs w:val="0"/>
                <w:caps w:val="0"/>
                <w:color w:val="auto"/>
                <w:spacing w:val="0"/>
                <w:sz w:val="21"/>
                <w:szCs w:val="21"/>
                <w:shd w:val="clear" w:fill="FFFFFF"/>
              </w:rPr>
              <w:t>违法企业</w:t>
            </w:r>
          </w:p>
          <w:p w14:paraId="2A78EA6C">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b/>
                <w:bCs/>
                <w:i w:val="0"/>
                <w:iCs w:val="0"/>
                <w:caps w:val="0"/>
                <w:color w:val="auto"/>
                <w:spacing w:val="0"/>
                <w:kern w:val="2"/>
                <w:sz w:val="21"/>
                <w:szCs w:val="21"/>
                <w:shd w:val="clear" w:fill="FFFFFF"/>
                <w:lang w:val="en-US" w:eastAsia="zh-CN" w:bidi="ar-SA"/>
              </w:rPr>
            </w:pPr>
            <w:r>
              <w:rPr>
                <w:rStyle w:val="5"/>
                <w:rFonts w:hint="default" w:ascii="Times New Roman" w:hAnsi="Times New Roman" w:eastAsia="宋体" w:cs="Times New Roman"/>
                <w:b/>
                <w:bCs/>
                <w:i w:val="0"/>
                <w:iCs w:val="0"/>
                <w:caps w:val="0"/>
                <w:color w:val="auto"/>
                <w:spacing w:val="0"/>
                <w:sz w:val="21"/>
                <w:szCs w:val="21"/>
                <w:shd w:val="clear" w:fill="FFFFFF"/>
              </w:rPr>
              <w:t>名称</w:t>
            </w:r>
          </w:p>
        </w:tc>
        <w:tc>
          <w:tcPr>
            <w:tcW w:w="2355" w:type="dxa"/>
            <w:vAlign w:val="center"/>
          </w:tcPr>
          <w:p w14:paraId="5874BB4B">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b/>
                <w:bCs/>
                <w:i w:val="0"/>
                <w:iCs w:val="0"/>
                <w:caps w:val="0"/>
                <w:color w:val="auto"/>
                <w:spacing w:val="0"/>
                <w:kern w:val="2"/>
                <w:sz w:val="21"/>
                <w:szCs w:val="21"/>
                <w:shd w:val="clear" w:fill="FFFFFF"/>
                <w:lang w:val="en-US" w:eastAsia="zh-CN" w:bidi="ar-SA"/>
              </w:rPr>
            </w:pPr>
            <w:r>
              <w:rPr>
                <w:rStyle w:val="5"/>
                <w:rFonts w:hint="default" w:ascii="Times New Roman" w:hAnsi="Times New Roman" w:eastAsia="宋体" w:cs="Times New Roman"/>
                <w:b/>
                <w:bCs/>
                <w:i w:val="0"/>
                <w:iCs w:val="0"/>
                <w:caps w:val="0"/>
                <w:color w:val="auto"/>
                <w:spacing w:val="0"/>
                <w:sz w:val="21"/>
                <w:szCs w:val="21"/>
                <w:shd w:val="clear" w:fill="FFFFFF"/>
              </w:rPr>
              <w:t>主要违法事实</w:t>
            </w:r>
          </w:p>
        </w:tc>
        <w:tc>
          <w:tcPr>
            <w:tcW w:w="1705" w:type="dxa"/>
            <w:vAlign w:val="center"/>
          </w:tcPr>
          <w:p w14:paraId="081ABB53">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b/>
                <w:bCs/>
                <w:i w:val="0"/>
                <w:iCs w:val="0"/>
                <w:caps w:val="0"/>
                <w:color w:val="auto"/>
                <w:spacing w:val="0"/>
                <w:kern w:val="2"/>
                <w:sz w:val="21"/>
                <w:szCs w:val="21"/>
                <w:shd w:val="clear" w:fill="FFFFFF"/>
                <w:lang w:val="en-US" w:eastAsia="zh-CN" w:bidi="ar-SA"/>
              </w:rPr>
            </w:pPr>
            <w:r>
              <w:rPr>
                <w:rStyle w:val="5"/>
                <w:rFonts w:hint="default" w:ascii="Times New Roman" w:hAnsi="Times New Roman" w:eastAsia="宋体" w:cs="Times New Roman"/>
                <w:b/>
                <w:bCs/>
                <w:i w:val="0"/>
                <w:iCs w:val="0"/>
                <w:caps w:val="0"/>
                <w:color w:val="auto"/>
                <w:spacing w:val="0"/>
                <w:sz w:val="21"/>
                <w:szCs w:val="21"/>
                <w:shd w:val="clear" w:fill="FFFFFF"/>
              </w:rPr>
              <w:t>作出行政处罚的法律依据</w:t>
            </w:r>
          </w:p>
        </w:tc>
        <w:tc>
          <w:tcPr>
            <w:tcW w:w="1759" w:type="dxa"/>
            <w:vAlign w:val="center"/>
          </w:tcPr>
          <w:p w14:paraId="0BAF48BC">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b/>
                <w:bCs/>
                <w:i w:val="0"/>
                <w:iCs w:val="0"/>
                <w:caps w:val="0"/>
                <w:color w:val="auto"/>
                <w:spacing w:val="0"/>
                <w:kern w:val="2"/>
                <w:sz w:val="21"/>
                <w:szCs w:val="21"/>
                <w:shd w:val="clear" w:fill="FFFFFF"/>
                <w:lang w:val="en-US" w:eastAsia="zh-CN" w:bidi="ar-SA"/>
              </w:rPr>
            </w:pPr>
            <w:r>
              <w:rPr>
                <w:rStyle w:val="5"/>
                <w:rFonts w:hint="default" w:ascii="Times New Roman" w:hAnsi="Times New Roman" w:eastAsia="宋体" w:cs="Times New Roman"/>
                <w:b/>
                <w:bCs/>
                <w:i w:val="0"/>
                <w:iCs w:val="0"/>
                <w:caps w:val="0"/>
                <w:color w:val="auto"/>
                <w:spacing w:val="0"/>
                <w:sz w:val="21"/>
                <w:szCs w:val="21"/>
                <w:shd w:val="clear" w:fill="FFFFFF"/>
              </w:rPr>
              <w:t>行政处罚的内容</w:t>
            </w:r>
          </w:p>
        </w:tc>
        <w:tc>
          <w:tcPr>
            <w:tcW w:w="1188" w:type="dxa"/>
            <w:vAlign w:val="center"/>
          </w:tcPr>
          <w:p w14:paraId="4D281833">
            <w:pPr>
              <w:keepNext w:val="0"/>
              <w:keepLines w:val="0"/>
              <w:suppressLineNumbers w:val="0"/>
              <w:spacing w:before="0" w:beforeAutospacing="0" w:after="0" w:afterAutospacing="0" w:line="240" w:lineRule="auto"/>
              <w:ind w:left="0" w:right="0"/>
              <w:jc w:val="center"/>
              <w:rPr>
                <w:rStyle w:val="5"/>
                <w:rFonts w:hint="eastAsia" w:ascii="Times New Roman" w:hAnsi="Times New Roman" w:eastAsia="宋体" w:cs="Times New Roman"/>
                <w:b/>
                <w:bCs/>
                <w:i w:val="0"/>
                <w:iCs w:val="0"/>
                <w:caps w:val="0"/>
                <w:color w:val="auto"/>
                <w:spacing w:val="0"/>
                <w:sz w:val="21"/>
                <w:szCs w:val="21"/>
                <w:shd w:val="clear" w:fill="FFFFFF"/>
                <w:lang w:val="en-US" w:eastAsia="zh-CN"/>
              </w:rPr>
            </w:pPr>
            <w:r>
              <w:rPr>
                <w:rStyle w:val="5"/>
                <w:rFonts w:hint="eastAsia" w:ascii="Times New Roman" w:hAnsi="Times New Roman" w:eastAsia="宋体" w:cs="Times New Roman"/>
                <w:b/>
                <w:bCs/>
                <w:i w:val="0"/>
                <w:iCs w:val="0"/>
                <w:caps w:val="0"/>
                <w:color w:val="auto"/>
                <w:spacing w:val="0"/>
                <w:sz w:val="21"/>
                <w:szCs w:val="21"/>
                <w:shd w:val="clear" w:fill="FFFFFF"/>
                <w:lang w:val="en-US" w:eastAsia="zh-CN"/>
              </w:rPr>
              <w:t>处罚时间</w:t>
            </w:r>
          </w:p>
        </w:tc>
        <w:tc>
          <w:tcPr>
            <w:tcW w:w="954" w:type="dxa"/>
            <w:vAlign w:val="center"/>
          </w:tcPr>
          <w:p w14:paraId="63002502">
            <w:pPr>
              <w:keepNext w:val="0"/>
              <w:keepLines w:val="0"/>
              <w:suppressLineNumbers w:val="0"/>
              <w:spacing w:before="0" w:beforeAutospacing="0" w:after="0" w:afterAutospacing="0" w:line="240" w:lineRule="auto"/>
              <w:ind w:left="0" w:right="0"/>
              <w:jc w:val="center"/>
              <w:rPr>
                <w:rStyle w:val="5"/>
                <w:rFonts w:hint="eastAsia" w:ascii="Times New Roman" w:hAnsi="Times New Roman" w:eastAsia="宋体" w:cs="Times New Roman"/>
                <w:b/>
                <w:bCs/>
                <w:i w:val="0"/>
                <w:iCs w:val="0"/>
                <w:caps w:val="0"/>
                <w:color w:val="auto"/>
                <w:spacing w:val="0"/>
                <w:sz w:val="21"/>
                <w:szCs w:val="21"/>
                <w:shd w:val="clear" w:fill="FFFFFF"/>
                <w:lang w:val="en-US" w:eastAsia="zh-CN"/>
              </w:rPr>
            </w:pPr>
            <w:r>
              <w:rPr>
                <w:rStyle w:val="5"/>
                <w:rFonts w:hint="eastAsia" w:ascii="Times New Roman" w:hAnsi="Times New Roman" w:eastAsia="宋体" w:cs="Times New Roman"/>
                <w:b/>
                <w:bCs/>
                <w:i w:val="0"/>
                <w:iCs w:val="0"/>
                <w:caps w:val="0"/>
                <w:color w:val="auto"/>
                <w:spacing w:val="0"/>
                <w:sz w:val="21"/>
                <w:szCs w:val="21"/>
                <w:shd w:val="clear" w:fill="FFFFFF"/>
                <w:lang w:val="en-US" w:eastAsia="zh-CN"/>
              </w:rPr>
              <w:t>处罚单位</w:t>
            </w:r>
          </w:p>
        </w:tc>
        <w:tc>
          <w:tcPr>
            <w:tcW w:w="1020" w:type="dxa"/>
            <w:vAlign w:val="center"/>
          </w:tcPr>
          <w:p w14:paraId="168EF426">
            <w:pPr>
              <w:keepNext w:val="0"/>
              <w:keepLines w:val="0"/>
              <w:suppressLineNumbers w:val="0"/>
              <w:spacing w:before="0" w:beforeAutospacing="0" w:after="0" w:afterAutospacing="0" w:line="240" w:lineRule="auto"/>
              <w:ind w:left="0" w:right="0"/>
              <w:jc w:val="center"/>
              <w:rPr>
                <w:rStyle w:val="5"/>
                <w:rFonts w:hint="eastAsia" w:ascii="Times New Roman" w:hAnsi="Times New Roman" w:eastAsia="宋体" w:cs="Times New Roman"/>
                <w:b/>
                <w:bCs/>
                <w:i w:val="0"/>
                <w:iCs w:val="0"/>
                <w:caps w:val="0"/>
                <w:color w:val="auto"/>
                <w:spacing w:val="0"/>
                <w:sz w:val="21"/>
                <w:szCs w:val="21"/>
                <w:shd w:val="clear" w:fill="FFFFFF"/>
                <w:lang w:val="en-US" w:eastAsia="zh-CN"/>
              </w:rPr>
            </w:pPr>
            <w:r>
              <w:rPr>
                <w:rStyle w:val="5"/>
                <w:rFonts w:hint="default" w:ascii="Times New Roman" w:hAnsi="Times New Roman" w:eastAsia="宋体" w:cs="Times New Roman"/>
                <w:b/>
                <w:bCs/>
                <w:i w:val="0"/>
                <w:iCs w:val="0"/>
                <w:caps w:val="0"/>
                <w:color w:val="auto"/>
                <w:spacing w:val="0"/>
                <w:sz w:val="21"/>
                <w:szCs w:val="21"/>
                <w:shd w:val="clear" w:fill="FFFFFF"/>
                <w:lang w:val="en-US" w:eastAsia="zh-CN"/>
              </w:rPr>
              <w:t>信息核对人</w:t>
            </w:r>
          </w:p>
        </w:tc>
      </w:tr>
      <w:tr w14:paraId="1BDC5F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6" w:hRule="atLeast"/>
        </w:trPr>
        <w:tc>
          <w:tcPr>
            <w:tcW w:w="469" w:type="dxa"/>
            <w:vAlign w:val="center"/>
          </w:tcPr>
          <w:p w14:paraId="7685694E">
            <w:pPr>
              <w:keepNext w:val="0"/>
              <w:keepLines w:val="0"/>
              <w:suppressLineNumbers w:val="0"/>
              <w:spacing w:before="0" w:beforeAutospacing="0" w:after="0" w:afterAutospacing="0"/>
              <w:ind w:left="0" w:right="0"/>
              <w:jc w:val="both"/>
              <w:rPr>
                <w:rFonts w:hint="default" w:ascii="仿宋_GB2312" w:hAnsi="仿宋_GB2312" w:eastAsia="仿宋_GB2312" w:cs="仿宋_GB2312"/>
                <w:sz w:val="24"/>
                <w:szCs w:val="24"/>
                <w:u w:val="none"/>
                <w:lang w:val="en-US" w:eastAsia="zh-CN"/>
              </w:rPr>
            </w:pPr>
            <w:r>
              <w:rPr>
                <w:rFonts w:hint="eastAsia" w:ascii="仿宋_GB2312" w:hAnsi="仿宋_GB2312" w:eastAsia="仿宋_GB2312" w:cs="仿宋_GB2312"/>
                <w:sz w:val="24"/>
                <w:szCs w:val="24"/>
                <w:u w:val="none"/>
                <w:lang w:val="en-US" w:eastAsia="zh-CN"/>
              </w:rPr>
              <w:t>1</w:t>
            </w:r>
          </w:p>
        </w:tc>
        <w:tc>
          <w:tcPr>
            <w:tcW w:w="1464" w:type="dxa"/>
            <w:vAlign w:val="center"/>
          </w:tcPr>
          <w:p w14:paraId="24F45E31">
            <w:pPr>
              <w:keepNext w:val="0"/>
              <w:keepLines w:val="0"/>
              <w:suppressLineNumbers w:val="0"/>
              <w:spacing w:before="0" w:beforeAutospacing="0" w:after="0" w:afterAutospacing="0"/>
              <w:ind w:left="0" w:right="0"/>
              <w:jc w:val="both"/>
              <w:rPr>
                <w:rFonts w:hint="eastAsia" w:ascii="仿宋_GB2312" w:hAnsi="仿宋_GB2312" w:eastAsia="仿宋_GB2312" w:cs="仿宋_GB2312"/>
                <w:sz w:val="24"/>
                <w:szCs w:val="24"/>
                <w:u w:val="none"/>
                <w:lang w:val="en-US" w:eastAsia="zh-CN"/>
              </w:rPr>
            </w:pPr>
            <w:r>
              <w:rPr>
                <w:rFonts w:hint="eastAsia" w:ascii="仿宋_GB2312" w:hAnsi="仿宋_GB2312" w:eastAsia="仿宋_GB2312" w:cs="仿宋_GB2312"/>
                <w:sz w:val="24"/>
                <w:szCs w:val="24"/>
                <w:u w:val="none"/>
                <w:lang w:val="en-US" w:eastAsia="zh-CN"/>
              </w:rPr>
              <w:t>（巫溪）应急罚〔2025〕事前执法 9号</w:t>
            </w:r>
          </w:p>
          <w:p w14:paraId="54B4DEFD">
            <w:pPr>
              <w:keepNext w:val="0"/>
              <w:keepLines w:val="0"/>
              <w:suppressLineNumbers w:val="0"/>
              <w:spacing w:before="0" w:beforeAutospacing="0" w:after="0" w:afterAutospacing="0"/>
              <w:ind w:left="0" w:right="0"/>
              <w:jc w:val="both"/>
              <w:rPr>
                <w:rFonts w:hint="eastAsia" w:ascii="仿宋_GB2312" w:hAnsi="仿宋_GB2312" w:eastAsia="仿宋_GB2312" w:cs="仿宋_GB2312"/>
                <w:sz w:val="24"/>
                <w:szCs w:val="24"/>
                <w:u w:val="none"/>
                <w:lang w:val="en-US" w:eastAsia="zh-CN"/>
              </w:rPr>
            </w:pPr>
          </w:p>
        </w:tc>
        <w:tc>
          <w:tcPr>
            <w:tcW w:w="1776" w:type="dxa"/>
            <w:vAlign w:val="center"/>
          </w:tcPr>
          <w:p w14:paraId="101B2225">
            <w:pPr>
              <w:keepNext w:val="0"/>
              <w:keepLines w:val="0"/>
              <w:suppressLineNumbers w:val="0"/>
              <w:spacing w:before="0" w:beforeAutospacing="0" w:after="0" w:afterAutospacing="0"/>
              <w:ind w:left="0" w:right="0"/>
              <w:jc w:val="both"/>
              <w:rPr>
                <w:rFonts w:hint="eastAsia" w:ascii="仿宋_GB2312" w:hAnsi="仿宋_GB2312" w:eastAsia="仿宋_GB2312" w:cs="仿宋_GB2312"/>
                <w:sz w:val="24"/>
                <w:szCs w:val="24"/>
                <w:u w:val="none"/>
                <w:lang w:val="en-US" w:eastAsia="zh-CN"/>
              </w:rPr>
            </w:pPr>
            <w:r>
              <w:rPr>
                <w:rFonts w:hint="eastAsia" w:ascii="仿宋_GB2312" w:hAnsi="仿宋_GB2312" w:eastAsia="仿宋_GB2312" w:cs="仿宋_GB2312"/>
                <w:sz w:val="24"/>
                <w:szCs w:val="24"/>
                <w:u w:val="none"/>
                <w:lang w:val="en-US" w:eastAsia="zh-CN"/>
              </w:rPr>
              <w:t>巫溪县碧玉石材有限公司未发现事故隐患并及时消除案</w:t>
            </w:r>
          </w:p>
          <w:p w14:paraId="00895A40">
            <w:pPr>
              <w:keepNext w:val="0"/>
              <w:keepLines w:val="0"/>
              <w:suppressLineNumbers w:val="0"/>
              <w:spacing w:before="0" w:beforeAutospacing="0" w:after="0" w:afterAutospacing="0"/>
              <w:ind w:left="0" w:right="0"/>
              <w:jc w:val="both"/>
              <w:rPr>
                <w:rFonts w:hint="eastAsia" w:ascii="仿宋_GB2312" w:hAnsi="仿宋_GB2312" w:eastAsia="仿宋_GB2312" w:cs="仿宋_GB2312"/>
                <w:sz w:val="24"/>
                <w:szCs w:val="24"/>
                <w:u w:val="none"/>
                <w:lang w:val="en-US" w:eastAsia="zh-CN"/>
              </w:rPr>
            </w:pPr>
          </w:p>
        </w:tc>
        <w:tc>
          <w:tcPr>
            <w:tcW w:w="1440" w:type="dxa"/>
            <w:vAlign w:val="center"/>
          </w:tcPr>
          <w:p w14:paraId="0119C84F">
            <w:pPr>
              <w:keepNext w:val="0"/>
              <w:keepLines w:val="0"/>
              <w:suppressLineNumbers w:val="0"/>
              <w:spacing w:before="0" w:beforeAutospacing="0" w:after="0" w:afterAutospacing="0"/>
              <w:ind w:left="0" w:right="0"/>
              <w:jc w:val="both"/>
              <w:rPr>
                <w:rFonts w:hint="eastAsia" w:ascii="仿宋_GB2312" w:hAnsi="仿宋_GB2312" w:eastAsia="仿宋_GB2312" w:cs="仿宋_GB2312"/>
                <w:sz w:val="24"/>
                <w:szCs w:val="24"/>
                <w:u w:val="none"/>
                <w:lang w:val="en-US" w:eastAsia="zh-CN"/>
              </w:rPr>
            </w:pPr>
            <w:r>
              <w:rPr>
                <w:rFonts w:hint="eastAsia" w:ascii="仿宋_GB2312" w:hAnsi="仿宋_GB2312" w:eastAsia="仿宋_GB2312" w:cs="仿宋_GB2312"/>
                <w:sz w:val="24"/>
                <w:szCs w:val="24"/>
                <w:u w:val="none"/>
                <w:lang w:val="en-US" w:eastAsia="zh-CN"/>
              </w:rPr>
              <w:t>巫溪县碧玉石材有限公司</w:t>
            </w:r>
          </w:p>
        </w:tc>
        <w:tc>
          <w:tcPr>
            <w:tcW w:w="2355" w:type="dxa"/>
            <w:vAlign w:val="center"/>
          </w:tcPr>
          <w:p w14:paraId="6AD30B1E">
            <w:pPr>
              <w:keepNext w:val="0"/>
              <w:keepLines w:val="0"/>
              <w:suppressLineNumbers w:val="0"/>
              <w:spacing w:before="0" w:beforeAutospacing="0" w:after="0" w:afterAutospacing="0"/>
              <w:ind w:left="0" w:right="0"/>
              <w:jc w:val="both"/>
              <w:rPr>
                <w:rFonts w:hint="default" w:ascii="仿宋_GB2312" w:hAnsi="仿宋_GB2312" w:eastAsia="仿宋_GB2312" w:cs="仿宋_GB2312"/>
                <w:sz w:val="24"/>
                <w:szCs w:val="24"/>
                <w:u w:val="none"/>
                <w:lang w:val="en-US" w:eastAsia="zh-CN"/>
              </w:rPr>
            </w:pPr>
            <w:r>
              <w:rPr>
                <w:rFonts w:hint="eastAsia" w:ascii="仿宋_GB2312" w:hAnsi="仿宋_GB2312" w:eastAsia="仿宋_GB2312" w:cs="仿宋_GB2312"/>
                <w:sz w:val="24"/>
                <w:szCs w:val="24"/>
                <w:u w:val="none"/>
                <w:lang w:val="en-US" w:eastAsia="zh-CN"/>
              </w:rPr>
              <w:t>矿山绳锯机控制开关未安装接地保护；矿山边坡西侧出现放射状裂缝，构成不稳定的潜在滑坡体等。</w:t>
            </w:r>
          </w:p>
        </w:tc>
        <w:tc>
          <w:tcPr>
            <w:tcW w:w="1705" w:type="dxa"/>
            <w:vAlign w:val="center"/>
          </w:tcPr>
          <w:p w14:paraId="711DC712">
            <w:pPr>
              <w:keepNext w:val="0"/>
              <w:keepLines w:val="0"/>
              <w:suppressLineNumbers w:val="0"/>
              <w:spacing w:before="0" w:beforeAutospacing="0" w:after="0" w:afterAutospacing="0"/>
              <w:ind w:left="0" w:right="0"/>
              <w:jc w:val="both"/>
              <w:rPr>
                <w:rFonts w:hint="eastAsia" w:ascii="仿宋_GB2312" w:hAnsi="仿宋_GB2312" w:eastAsia="仿宋_GB2312" w:cs="仿宋_GB2312"/>
                <w:sz w:val="24"/>
                <w:szCs w:val="24"/>
                <w:u w:val="none"/>
                <w:lang w:val="en-US" w:eastAsia="zh-CN"/>
              </w:rPr>
            </w:pPr>
            <w:r>
              <w:rPr>
                <w:rFonts w:hint="eastAsia" w:ascii="仿宋_GB2312" w:hAnsi="仿宋_GB2312" w:eastAsia="仿宋_GB2312" w:cs="仿宋_GB2312"/>
                <w:sz w:val="24"/>
                <w:szCs w:val="24"/>
                <w:u w:val="none"/>
                <w:lang w:val="en-US" w:eastAsia="zh-CN"/>
              </w:rPr>
              <w:t>中华人民共和国安全生产法》第一百零二条</w:t>
            </w:r>
          </w:p>
          <w:p w14:paraId="0E8FDA52">
            <w:pPr>
              <w:keepNext w:val="0"/>
              <w:keepLines w:val="0"/>
              <w:suppressLineNumbers w:val="0"/>
              <w:spacing w:before="0" w:beforeAutospacing="0" w:after="0" w:afterAutospacing="0"/>
              <w:ind w:left="0" w:right="0"/>
              <w:jc w:val="both"/>
              <w:rPr>
                <w:rFonts w:hint="eastAsia" w:ascii="仿宋_GB2312" w:hAnsi="仿宋_GB2312" w:eastAsia="仿宋_GB2312" w:cs="仿宋_GB2312"/>
                <w:sz w:val="24"/>
                <w:szCs w:val="24"/>
                <w:u w:val="none"/>
                <w:lang w:val="en-US" w:eastAsia="zh-CN"/>
              </w:rPr>
            </w:pPr>
          </w:p>
        </w:tc>
        <w:tc>
          <w:tcPr>
            <w:tcW w:w="1759" w:type="dxa"/>
            <w:vAlign w:val="center"/>
          </w:tcPr>
          <w:p w14:paraId="767335AE">
            <w:pPr>
              <w:keepNext w:val="0"/>
              <w:keepLines w:val="0"/>
              <w:suppressLineNumbers w:val="0"/>
              <w:spacing w:before="0" w:beforeAutospacing="0" w:after="0" w:afterAutospacing="0"/>
              <w:ind w:left="0" w:right="0"/>
              <w:jc w:val="both"/>
              <w:rPr>
                <w:rFonts w:hint="eastAsia" w:ascii="仿宋_GB2312" w:hAnsi="仿宋_GB2312" w:eastAsia="仿宋_GB2312" w:cs="仿宋_GB2312"/>
                <w:sz w:val="24"/>
                <w:szCs w:val="24"/>
                <w:u w:val="none"/>
                <w:lang w:val="en-US" w:eastAsia="zh-CN"/>
              </w:rPr>
            </w:pPr>
            <w:r>
              <w:rPr>
                <w:rFonts w:hint="eastAsia" w:ascii="仿宋_GB2312" w:hAnsi="仿宋_GB2312" w:eastAsia="仿宋_GB2312" w:cs="仿宋_GB2312"/>
                <w:sz w:val="24"/>
                <w:szCs w:val="24"/>
                <w:u w:val="none"/>
                <w:lang w:val="en-US" w:eastAsia="zh-CN"/>
              </w:rPr>
              <w:t>罚款15000元（壹万五仟元整）</w:t>
            </w:r>
          </w:p>
          <w:p w14:paraId="7DAD7DFA">
            <w:pPr>
              <w:keepNext w:val="0"/>
              <w:keepLines w:val="0"/>
              <w:suppressLineNumbers w:val="0"/>
              <w:spacing w:before="0" w:beforeAutospacing="0" w:after="0" w:afterAutospacing="0"/>
              <w:ind w:left="0" w:right="0"/>
              <w:jc w:val="both"/>
              <w:rPr>
                <w:rFonts w:hint="eastAsia" w:ascii="仿宋_GB2312" w:hAnsi="仿宋_GB2312" w:eastAsia="仿宋_GB2312" w:cs="仿宋_GB2312"/>
                <w:sz w:val="24"/>
                <w:szCs w:val="24"/>
                <w:u w:val="none"/>
                <w:lang w:val="en-US" w:eastAsia="zh-CN"/>
              </w:rPr>
            </w:pPr>
          </w:p>
        </w:tc>
        <w:tc>
          <w:tcPr>
            <w:tcW w:w="1188" w:type="dxa"/>
            <w:vAlign w:val="center"/>
          </w:tcPr>
          <w:p w14:paraId="72DEAEAA">
            <w:pPr>
              <w:keepNext w:val="0"/>
              <w:keepLines w:val="0"/>
              <w:suppressLineNumbers w:val="0"/>
              <w:spacing w:before="0" w:beforeAutospacing="0" w:after="0" w:afterAutospacing="0"/>
              <w:ind w:left="0" w:right="0"/>
              <w:jc w:val="both"/>
              <w:rPr>
                <w:rFonts w:hint="default" w:ascii="仿宋_GB2312" w:hAnsi="仿宋_GB2312" w:eastAsia="仿宋_GB2312" w:cs="仿宋_GB2312"/>
                <w:sz w:val="24"/>
                <w:szCs w:val="24"/>
                <w:u w:val="none"/>
                <w:lang w:val="en-US" w:eastAsia="zh-CN"/>
              </w:rPr>
            </w:pPr>
            <w:r>
              <w:rPr>
                <w:rFonts w:hint="eastAsia" w:ascii="仿宋_GB2312" w:hAnsi="仿宋_GB2312" w:eastAsia="仿宋_GB2312" w:cs="仿宋_GB2312"/>
                <w:sz w:val="24"/>
                <w:szCs w:val="24"/>
                <w:u w:val="none"/>
                <w:lang w:val="en-US" w:eastAsia="zh-CN"/>
              </w:rPr>
              <w:t>2025年4月3日</w:t>
            </w:r>
          </w:p>
        </w:tc>
        <w:tc>
          <w:tcPr>
            <w:tcW w:w="954" w:type="dxa"/>
            <w:shd w:val="clear" w:color="auto" w:fill="auto"/>
            <w:vAlign w:val="center"/>
          </w:tcPr>
          <w:p w14:paraId="7BAA675E">
            <w:pPr>
              <w:keepNext w:val="0"/>
              <w:keepLines w:val="0"/>
              <w:suppressLineNumbers w:val="0"/>
              <w:spacing w:before="0" w:beforeAutospacing="0" w:after="0" w:afterAutospacing="0"/>
              <w:ind w:left="0" w:right="0"/>
              <w:jc w:val="both"/>
              <w:rPr>
                <w:rFonts w:hint="eastAsia" w:ascii="仿宋_GB2312" w:hAnsi="仿宋_GB2312" w:eastAsia="仿宋_GB2312" w:cs="仿宋_GB2312"/>
                <w:sz w:val="24"/>
                <w:szCs w:val="24"/>
                <w:u w:val="none"/>
                <w:lang w:val="en-US" w:eastAsia="zh-CN"/>
              </w:rPr>
            </w:pPr>
            <w:r>
              <w:rPr>
                <w:rFonts w:hint="eastAsia" w:ascii="仿宋_GB2312" w:hAnsi="仿宋_GB2312" w:eastAsia="仿宋_GB2312" w:cs="仿宋_GB2312"/>
                <w:sz w:val="24"/>
                <w:szCs w:val="24"/>
                <w:u w:val="none"/>
                <w:lang w:val="en-US" w:eastAsia="zh-CN"/>
              </w:rPr>
              <w:t>巫溪县应急管理局</w:t>
            </w:r>
          </w:p>
        </w:tc>
        <w:tc>
          <w:tcPr>
            <w:tcW w:w="1020" w:type="dxa"/>
            <w:shd w:val="clear" w:color="auto" w:fill="auto"/>
            <w:vAlign w:val="center"/>
          </w:tcPr>
          <w:p w14:paraId="02EC344B">
            <w:pPr>
              <w:keepNext w:val="0"/>
              <w:keepLines w:val="0"/>
              <w:suppressLineNumbers w:val="0"/>
              <w:spacing w:before="0" w:beforeAutospacing="0" w:after="0" w:afterAutospacing="0"/>
              <w:ind w:left="0" w:right="0"/>
              <w:jc w:val="both"/>
              <w:rPr>
                <w:rFonts w:hint="eastAsia" w:ascii="仿宋_GB2312" w:hAnsi="仿宋_GB2312" w:eastAsia="仿宋_GB2312" w:cs="仿宋_GB2312"/>
                <w:sz w:val="24"/>
                <w:szCs w:val="24"/>
                <w:u w:val="none"/>
                <w:lang w:val="en-US" w:eastAsia="zh-CN"/>
              </w:rPr>
            </w:pPr>
            <w:r>
              <w:rPr>
                <w:rFonts w:hint="eastAsia" w:ascii="仿宋_GB2312" w:hAnsi="仿宋_GB2312" w:eastAsia="仿宋_GB2312" w:cs="仿宋_GB2312"/>
                <w:sz w:val="24"/>
                <w:szCs w:val="24"/>
                <w:u w:val="none"/>
                <w:lang w:val="en-US" w:eastAsia="zh-CN"/>
              </w:rPr>
              <w:t>陈鑫芳</w:t>
            </w:r>
          </w:p>
        </w:tc>
      </w:tr>
      <w:tr w14:paraId="24CA83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8" w:hRule="atLeast"/>
        </w:trPr>
        <w:tc>
          <w:tcPr>
            <w:tcW w:w="469" w:type="dxa"/>
            <w:vAlign w:val="center"/>
          </w:tcPr>
          <w:p w14:paraId="71970A9D">
            <w:pPr>
              <w:keepNext w:val="0"/>
              <w:keepLines w:val="0"/>
              <w:suppressLineNumbers w:val="0"/>
              <w:spacing w:before="0" w:beforeAutospacing="0" w:after="0" w:afterAutospacing="0"/>
              <w:ind w:left="0" w:right="0"/>
              <w:jc w:val="both"/>
              <w:rPr>
                <w:rFonts w:hint="default" w:ascii="仿宋_GB2312" w:hAnsi="仿宋_GB2312" w:eastAsia="仿宋_GB2312" w:cs="仿宋_GB2312"/>
                <w:sz w:val="24"/>
                <w:szCs w:val="24"/>
                <w:u w:val="none"/>
                <w:lang w:val="en-US" w:eastAsia="zh-CN"/>
              </w:rPr>
            </w:pPr>
            <w:r>
              <w:rPr>
                <w:rFonts w:hint="eastAsia" w:ascii="仿宋_GB2312" w:hAnsi="仿宋_GB2312" w:eastAsia="仿宋_GB2312" w:cs="仿宋_GB2312"/>
                <w:sz w:val="24"/>
                <w:szCs w:val="24"/>
                <w:u w:val="none"/>
                <w:lang w:val="en-US" w:eastAsia="zh-CN"/>
              </w:rPr>
              <w:t>2</w:t>
            </w:r>
          </w:p>
        </w:tc>
        <w:tc>
          <w:tcPr>
            <w:tcW w:w="1464" w:type="dxa"/>
            <w:vAlign w:val="center"/>
          </w:tcPr>
          <w:p w14:paraId="009464A4">
            <w:pPr>
              <w:keepNext w:val="0"/>
              <w:keepLines w:val="0"/>
              <w:suppressLineNumbers w:val="0"/>
              <w:spacing w:before="0" w:beforeAutospacing="0" w:after="0" w:afterAutospacing="0"/>
              <w:ind w:left="0" w:right="0"/>
              <w:jc w:val="both"/>
              <w:rPr>
                <w:rFonts w:hint="eastAsia" w:ascii="仿宋_GB2312" w:hAnsi="仿宋_GB2312" w:eastAsia="仿宋_GB2312" w:cs="仿宋_GB2312"/>
                <w:sz w:val="24"/>
                <w:szCs w:val="24"/>
                <w:u w:val="none"/>
                <w:lang w:val="en-US" w:eastAsia="zh-CN"/>
              </w:rPr>
            </w:pPr>
            <w:r>
              <w:rPr>
                <w:rFonts w:hint="eastAsia" w:ascii="仿宋_GB2312" w:hAnsi="仿宋_GB2312" w:eastAsia="仿宋_GB2312" w:cs="仿宋_GB2312"/>
                <w:sz w:val="24"/>
                <w:szCs w:val="24"/>
                <w:u w:val="none"/>
                <w:lang w:val="en-US" w:eastAsia="zh-CN"/>
              </w:rPr>
              <w:t>（巫溪）应急罚〔2025〕事前执法8 号</w:t>
            </w:r>
          </w:p>
          <w:p w14:paraId="25BDCFA1">
            <w:pPr>
              <w:keepNext w:val="0"/>
              <w:keepLines w:val="0"/>
              <w:suppressLineNumbers w:val="0"/>
              <w:spacing w:before="0" w:beforeAutospacing="0" w:after="0" w:afterAutospacing="0"/>
              <w:ind w:left="0" w:right="0"/>
              <w:jc w:val="both"/>
              <w:rPr>
                <w:rFonts w:hint="eastAsia" w:ascii="仿宋_GB2312" w:hAnsi="仿宋_GB2312" w:eastAsia="仿宋_GB2312" w:cs="仿宋_GB2312"/>
                <w:sz w:val="24"/>
                <w:szCs w:val="24"/>
                <w:u w:val="none"/>
                <w:lang w:val="en-US" w:eastAsia="zh-CN"/>
              </w:rPr>
            </w:pPr>
          </w:p>
        </w:tc>
        <w:tc>
          <w:tcPr>
            <w:tcW w:w="1776" w:type="dxa"/>
            <w:vAlign w:val="center"/>
          </w:tcPr>
          <w:p w14:paraId="188FCCD0">
            <w:pPr>
              <w:keepNext w:val="0"/>
              <w:keepLines w:val="0"/>
              <w:suppressLineNumbers w:val="0"/>
              <w:spacing w:before="0" w:beforeAutospacing="0" w:after="0" w:afterAutospacing="0"/>
              <w:ind w:left="0" w:right="0"/>
              <w:jc w:val="both"/>
              <w:rPr>
                <w:rFonts w:hint="eastAsia" w:ascii="仿宋_GB2312" w:hAnsi="仿宋_GB2312" w:eastAsia="仿宋_GB2312" w:cs="仿宋_GB2312"/>
                <w:sz w:val="24"/>
                <w:szCs w:val="24"/>
                <w:u w:val="none"/>
                <w:lang w:val="en-US" w:eastAsia="zh-CN"/>
              </w:rPr>
            </w:pPr>
            <w:r>
              <w:rPr>
                <w:rFonts w:hint="eastAsia" w:ascii="仿宋_GB2312" w:hAnsi="仿宋_GB2312" w:eastAsia="仿宋_GB2312" w:cs="仿宋_GB2312"/>
                <w:sz w:val="24"/>
                <w:szCs w:val="24"/>
                <w:u w:val="none"/>
                <w:lang w:val="en-US" w:eastAsia="zh-CN"/>
              </w:rPr>
              <w:t>巫溪县鸿越建材有限公司未 设 置 醒目的安全警示标志案</w:t>
            </w:r>
          </w:p>
          <w:p w14:paraId="774B832C">
            <w:pPr>
              <w:keepNext w:val="0"/>
              <w:keepLines w:val="0"/>
              <w:suppressLineNumbers w:val="0"/>
              <w:spacing w:before="0" w:beforeAutospacing="0" w:after="0" w:afterAutospacing="0"/>
              <w:ind w:left="0" w:right="0"/>
              <w:jc w:val="both"/>
              <w:rPr>
                <w:rFonts w:hint="eastAsia" w:ascii="仿宋_GB2312" w:hAnsi="仿宋_GB2312" w:eastAsia="仿宋_GB2312" w:cs="仿宋_GB2312"/>
                <w:sz w:val="24"/>
                <w:szCs w:val="24"/>
                <w:u w:val="none"/>
                <w:lang w:val="en-US" w:eastAsia="zh-CN"/>
              </w:rPr>
            </w:pPr>
          </w:p>
        </w:tc>
        <w:tc>
          <w:tcPr>
            <w:tcW w:w="1440" w:type="dxa"/>
            <w:vAlign w:val="center"/>
          </w:tcPr>
          <w:p w14:paraId="5951572D">
            <w:pPr>
              <w:keepNext w:val="0"/>
              <w:keepLines w:val="0"/>
              <w:suppressLineNumbers w:val="0"/>
              <w:spacing w:before="0" w:beforeAutospacing="0" w:after="0" w:afterAutospacing="0"/>
              <w:ind w:left="0" w:right="0"/>
              <w:jc w:val="both"/>
              <w:rPr>
                <w:rFonts w:hint="eastAsia" w:ascii="仿宋_GB2312" w:hAnsi="仿宋_GB2312" w:eastAsia="仿宋_GB2312" w:cs="仿宋_GB2312"/>
                <w:sz w:val="24"/>
                <w:szCs w:val="24"/>
                <w:u w:val="none"/>
                <w:lang w:val="en-US" w:eastAsia="zh-CN"/>
              </w:rPr>
            </w:pPr>
            <w:r>
              <w:rPr>
                <w:rFonts w:hint="eastAsia" w:ascii="仿宋_GB2312" w:hAnsi="仿宋_GB2312" w:eastAsia="仿宋_GB2312" w:cs="仿宋_GB2312"/>
                <w:sz w:val="24"/>
                <w:szCs w:val="24"/>
                <w:u w:val="none"/>
                <w:lang w:val="en-US" w:eastAsia="zh-CN"/>
              </w:rPr>
              <w:t>巫溪县鸿越建材有限公司</w:t>
            </w:r>
          </w:p>
          <w:p w14:paraId="0C3D5823">
            <w:pPr>
              <w:keepNext w:val="0"/>
              <w:keepLines w:val="0"/>
              <w:suppressLineNumbers w:val="0"/>
              <w:spacing w:before="0" w:beforeAutospacing="0" w:after="0" w:afterAutospacing="0"/>
              <w:ind w:left="0" w:right="0"/>
              <w:jc w:val="both"/>
              <w:rPr>
                <w:rFonts w:hint="eastAsia" w:ascii="仿宋_GB2312" w:hAnsi="仿宋_GB2312" w:eastAsia="仿宋_GB2312" w:cs="仿宋_GB2312"/>
                <w:sz w:val="24"/>
                <w:szCs w:val="24"/>
                <w:u w:val="none"/>
                <w:lang w:val="en-US" w:eastAsia="zh-CN"/>
              </w:rPr>
            </w:pPr>
          </w:p>
        </w:tc>
        <w:tc>
          <w:tcPr>
            <w:tcW w:w="2355" w:type="dxa"/>
            <w:vAlign w:val="center"/>
          </w:tcPr>
          <w:p w14:paraId="4CE7E591">
            <w:pPr>
              <w:keepNext w:val="0"/>
              <w:keepLines w:val="0"/>
              <w:suppressLineNumbers w:val="0"/>
              <w:spacing w:before="0" w:beforeAutospacing="0" w:after="0" w:afterAutospacing="0"/>
              <w:ind w:left="0" w:right="0"/>
              <w:jc w:val="both"/>
              <w:rPr>
                <w:rFonts w:hint="default" w:ascii="仿宋_GB2312" w:hAnsi="仿宋_GB2312" w:eastAsia="仿宋_GB2312" w:cs="仿宋_GB2312"/>
                <w:sz w:val="24"/>
                <w:szCs w:val="24"/>
                <w:u w:val="none"/>
                <w:lang w:val="en-US" w:eastAsia="zh-CN"/>
              </w:rPr>
            </w:pPr>
            <w:r>
              <w:rPr>
                <w:rFonts w:hint="eastAsia" w:ascii="仿宋_GB2312" w:hAnsi="仿宋_GB2312" w:eastAsia="仿宋_GB2312" w:cs="仿宋_GB2312"/>
                <w:sz w:val="24"/>
                <w:szCs w:val="24"/>
                <w:u w:val="none"/>
                <w:lang w:val="en-US" w:eastAsia="zh-CN"/>
              </w:rPr>
              <w:t>矿山+1152m 平台局部地段不足8m、矿山企业与爆破作业外包单位签订的安全管理协议于到期后未进行续签等</w:t>
            </w:r>
          </w:p>
        </w:tc>
        <w:tc>
          <w:tcPr>
            <w:tcW w:w="1705" w:type="dxa"/>
            <w:vAlign w:val="center"/>
          </w:tcPr>
          <w:p w14:paraId="6357C9F0">
            <w:pPr>
              <w:keepNext w:val="0"/>
              <w:keepLines w:val="0"/>
              <w:suppressLineNumbers w:val="0"/>
              <w:spacing w:before="0" w:beforeAutospacing="0" w:after="0" w:afterAutospacing="0"/>
              <w:ind w:left="0" w:right="0"/>
              <w:jc w:val="both"/>
              <w:rPr>
                <w:rFonts w:hint="eastAsia" w:ascii="仿宋_GB2312" w:hAnsi="仿宋_GB2312" w:eastAsia="仿宋_GB2312" w:cs="仿宋_GB2312"/>
                <w:sz w:val="24"/>
                <w:szCs w:val="24"/>
                <w:u w:val="none"/>
                <w:lang w:val="en-US" w:eastAsia="zh-CN"/>
              </w:rPr>
            </w:pPr>
            <w:r>
              <w:rPr>
                <w:rFonts w:hint="eastAsia" w:ascii="仿宋_GB2312" w:hAnsi="仿宋_GB2312" w:eastAsia="仿宋_GB2312" w:cs="仿宋_GB2312"/>
                <w:sz w:val="24"/>
                <w:szCs w:val="24"/>
                <w:u w:val="none"/>
                <w:lang w:val="en-US" w:eastAsia="zh-CN"/>
              </w:rPr>
              <w:t>《中华人民共和国安全生产法》第一百零二条、第一百零三条第二款</w:t>
            </w:r>
          </w:p>
          <w:p w14:paraId="31F3B21C">
            <w:pPr>
              <w:keepNext w:val="0"/>
              <w:keepLines w:val="0"/>
              <w:suppressLineNumbers w:val="0"/>
              <w:spacing w:before="0" w:beforeAutospacing="0" w:after="0" w:afterAutospacing="0"/>
              <w:ind w:left="0" w:right="0"/>
              <w:jc w:val="both"/>
              <w:rPr>
                <w:rFonts w:hint="eastAsia" w:ascii="仿宋_GB2312" w:hAnsi="仿宋_GB2312" w:eastAsia="仿宋_GB2312" w:cs="仿宋_GB2312"/>
                <w:sz w:val="24"/>
                <w:szCs w:val="24"/>
                <w:u w:val="none"/>
                <w:lang w:val="en-US" w:eastAsia="zh-CN"/>
              </w:rPr>
            </w:pPr>
          </w:p>
        </w:tc>
        <w:tc>
          <w:tcPr>
            <w:tcW w:w="1759" w:type="dxa"/>
            <w:vAlign w:val="center"/>
          </w:tcPr>
          <w:p w14:paraId="56606798">
            <w:pPr>
              <w:keepNext w:val="0"/>
              <w:keepLines w:val="0"/>
              <w:suppressLineNumbers w:val="0"/>
              <w:spacing w:before="0" w:beforeAutospacing="0" w:after="0" w:afterAutospacing="0"/>
              <w:ind w:left="0" w:right="0"/>
              <w:jc w:val="both"/>
              <w:rPr>
                <w:rFonts w:hint="eastAsia" w:ascii="仿宋_GB2312" w:hAnsi="仿宋_GB2312" w:eastAsia="仿宋_GB2312" w:cs="仿宋_GB2312"/>
                <w:sz w:val="24"/>
                <w:szCs w:val="24"/>
                <w:u w:val="none"/>
                <w:lang w:val="en-US" w:eastAsia="zh-CN"/>
              </w:rPr>
            </w:pPr>
            <w:r>
              <w:rPr>
                <w:rFonts w:hint="eastAsia" w:ascii="仿宋_GB2312" w:hAnsi="仿宋_GB2312" w:eastAsia="仿宋_GB2312" w:cs="仿宋_GB2312"/>
                <w:sz w:val="24"/>
                <w:szCs w:val="24"/>
                <w:u w:val="none"/>
                <w:lang w:val="en-US" w:eastAsia="zh-CN"/>
              </w:rPr>
              <w:t>罚款10000 元（壹万元整）</w:t>
            </w:r>
          </w:p>
          <w:p w14:paraId="237CC382">
            <w:pPr>
              <w:keepNext w:val="0"/>
              <w:keepLines w:val="0"/>
              <w:suppressLineNumbers w:val="0"/>
              <w:spacing w:before="0" w:beforeAutospacing="0" w:after="0" w:afterAutospacing="0"/>
              <w:ind w:left="0" w:right="0"/>
              <w:jc w:val="both"/>
              <w:rPr>
                <w:rFonts w:hint="eastAsia" w:ascii="仿宋_GB2312" w:hAnsi="仿宋_GB2312" w:eastAsia="仿宋_GB2312" w:cs="仿宋_GB2312"/>
                <w:sz w:val="24"/>
                <w:szCs w:val="24"/>
                <w:u w:val="none"/>
                <w:lang w:val="en-US" w:eastAsia="zh-CN"/>
              </w:rPr>
            </w:pPr>
          </w:p>
        </w:tc>
        <w:tc>
          <w:tcPr>
            <w:tcW w:w="1188" w:type="dxa"/>
            <w:vAlign w:val="center"/>
          </w:tcPr>
          <w:p w14:paraId="4D2BA81B">
            <w:pPr>
              <w:keepNext w:val="0"/>
              <w:keepLines w:val="0"/>
              <w:suppressLineNumbers w:val="0"/>
              <w:spacing w:before="0" w:beforeAutospacing="0" w:after="0" w:afterAutospacing="0"/>
              <w:ind w:left="0" w:right="0"/>
              <w:jc w:val="both"/>
              <w:rPr>
                <w:rFonts w:hint="eastAsia" w:ascii="仿宋_GB2312" w:hAnsi="仿宋_GB2312" w:eastAsia="仿宋_GB2312" w:cs="仿宋_GB2312"/>
                <w:sz w:val="24"/>
                <w:szCs w:val="24"/>
                <w:u w:val="none"/>
                <w:lang w:val="en-US" w:eastAsia="zh-CN"/>
              </w:rPr>
            </w:pPr>
            <w:r>
              <w:rPr>
                <w:rFonts w:hint="eastAsia" w:ascii="仿宋_GB2312" w:hAnsi="仿宋_GB2312" w:eastAsia="仿宋_GB2312" w:cs="仿宋_GB2312"/>
                <w:sz w:val="24"/>
                <w:szCs w:val="24"/>
                <w:u w:val="none"/>
                <w:lang w:val="en-US" w:eastAsia="zh-CN"/>
              </w:rPr>
              <w:t>2025年4月4日</w:t>
            </w:r>
          </w:p>
        </w:tc>
        <w:tc>
          <w:tcPr>
            <w:tcW w:w="954" w:type="dxa"/>
            <w:shd w:val="clear" w:color="auto" w:fill="auto"/>
            <w:vAlign w:val="center"/>
          </w:tcPr>
          <w:p w14:paraId="4CAFFDF2">
            <w:pPr>
              <w:keepNext w:val="0"/>
              <w:keepLines w:val="0"/>
              <w:suppressLineNumbers w:val="0"/>
              <w:spacing w:before="0" w:beforeAutospacing="0" w:after="0" w:afterAutospacing="0"/>
              <w:ind w:left="0" w:right="0"/>
              <w:jc w:val="both"/>
              <w:rPr>
                <w:rFonts w:hint="eastAsia" w:ascii="仿宋_GB2312" w:hAnsi="仿宋_GB2312" w:eastAsia="仿宋_GB2312" w:cs="仿宋_GB2312"/>
                <w:sz w:val="24"/>
                <w:szCs w:val="24"/>
                <w:u w:val="none"/>
                <w:lang w:val="en-US" w:eastAsia="zh-CN"/>
              </w:rPr>
            </w:pPr>
            <w:r>
              <w:rPr>
                <w:rFonts w:hint="eastAsia" w:ascii="仿宋_GB2312" w:hAnsi="仿宋_GB2312" w:eastAsia="仿宋_GB2312" w:cs="仿宋_GB2312"/>
                <w:sz w:val="24"/>
                <w:szCs w:val="24"/>
                <w:u w:val="none"/>
                <w:lang w:val="en-US" w:eastAsia="zh-CN"/>
              </w:rPr>
              <w:t>巫溪县应急管理局</w:t>
            </w:r>
          </w:p>
        </w:tc>
        <w:tc>
          <w:tcPr>
            <w:tcW w:w="1020" w:type="dxa"/>
            <w:shd w:val="clear" w:color="auto" w:fill="auto"/>
            <w:vAlign w:val="center"/>
          </w:tcPr>
          <w:p w14:paraId="246DFE59">
            <w:pPr>
              <w:keepNext w:val="0"/>
              <w:keepLines w:val="0"/>
              <w:suppressLineNumbers w:val="0"/>
              <w:spacing w:before="0" w:beforeAutospacing="0" w:after="0" w:afterAutospacing="0"/>
              <w:ind w:left="0" w:right="0"/>
              <w:jc w:val="both"/>
              <w:rPr>
                <w:rFonts w:hint="eastAsia" w:ascii="仿宋_GB2312" w:hAnsi="仿宋_GB2312" w:eastAsia="仿宋_GB2312" w:cs="仿宋_GB2312"/>
                <w:sz w:val="24"/>
                <w:szCs w:val="24"/>
                <w:u w:val="none"/>
                <w:lang w:val="en-US" w:eastAsia="zh-CN"/>
              </w:rPr>
            </w:pPr>
            <w:r>
              <w:rPr>
                <w:rFonts w:hint="eastAsia" w:ascii="仿宋_GB2312" w:hAnsi="仿宋_GB2312" w:eastAsia="仿宋_GB2312" w:cs="仿宋_GB2312"/>
                <w:sz w:val="24"/>
                <w:szCs w:val="24"/>
                <w:u w:val="none"/>
                <w:lang w:val="en-US" w:eastAsia="zh-CN"/>
              </w:rPr>
              <w:t>陈鑫芳</w:t>
            </w:r>
          </w:p>
        </w:tc>
      </w:tr>
      <w:tr w14:paraId="4CE9D9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9" w:type="dxa"/>
            <w:vAlign w:val="center"/>
          </w:tcPr>
          <w:p w14:paraId="745B9CF5">
            <w:pPr>
              <w:keepNext w:val="0"/>
              <w:keepLines w:val="0"/>
              <w:suppressLineNumbers w:val="0"/>
              <w:spacing w:before="0" w:beforeAutospacing="0" w:after="0" w:afterAutospacing="0"/>
              <w:ind w:left="0" w:right="0"/>
              <w:jc w:val="both"/>
              <w:rPr>
                <w:rFonts w:hint="default" w:ascii="仿宋_GB2312" w:hAnsi="仿宋_GB2312" w:eastAsia="仿宋_GB2312" w:cs="仿宋_GB2312"/>
                <w:sz w:val="24"/>
                <w:szCs w:val="24"/>
                <w:u w:val="none"/>
                <w:lang w:val="en-US" w:eastAsia="zh-CN"/>
              </w:rPr>
            </w:pPr>
            <w:r>
              <w:rPr>
                <w:rFonts w:hint="eastAsia" w:ascii="仿宋_GB2312" w:hAnsi="仿宋_GB2312" w:eastAsia="仿宋_GB2312" w:cs="仿宋_GB2312"/>
                <w:sz w:val="24"/>
                <w:szCs w:val="24"/>
                <w:u w:val="none"/>
                <w:lang w:val="en-US" w:eastAsia="zh-CN"/>
              </w:rPr>
              <w:t>3</w:t>
            </w:r>
          </w:p>
        </w:tc>
        <w:tc>
          <w:tcPr>
            <w:tcW w:w="1464" w:type="dxa"/>
            <w:vAlign w:val="center"/>
          </w:tcPr>
          <w:p w14:paraId="771C42A9">
            <w:pPr>
              <w:keepNext w:val="0"/>
              <w:keepLines w:val="0"/>
              <w:suppressLineNumbers w:val="0"/>
              <w:spacing w:before="0" w:beforeAutospacing="0" w:after="0" w:afterAutospacing="0"/>
              <w:ind w:left="0" w:right="0"/>
              <w:jc w:val="both"/>
              <w:rPr>
                <w:rFonts w:hint="eastAsia" w:ascii="仿宋_GB2312" w:hAnsi="仿宋_GB2312" w:eastAsia="仿宋_GB2312" w:cs="仿宋_GB2312"/>
                <w:sz w:val="24"/>
                <w:szCs w:val="24"/>
                <w:u w:val="none"/>
                <w:lang w:val="en-US" w:eastAsia="zh-CN"/>
              </w:rPr>
            </w:pPr>
            <w:r>
              <w:rPr>
                <w:rFonts w:hint="eastAsia" w:ascii="仿宋_GB2312" w:hAnsi="仿宋_GB2312" w:eastAsia="仿宋_GB2312" w:cs="仿宋_GB2312"/>
                <w:sz w:val="24"/>
                <w:szCs w:val="24"/>
                <w:u w:val="none"/>
                <w:lang w:val="en-US" w:eastAsia="zh-CN"/>
              </w:rPr>
              <w:t>（巫溪）应急罚〔2025〕事前执法13 号</w:t>
            </w:r>
          </w:p>
          <w:p w14:paraId="471AC59F">
            <w:pPr>
              <w:keepNext w:val="0"/>
              <w:keepLines w:val="0"/>
              <w:suppressLineNumbers w:val="0"/>
              <w:spacing w:before="0" w:beforeAutospacing="0" w:after="0" w:afterAutospacing="0"/>
              <w:ind w:left="0" w:right="0"/>
              <w:jc w:val="both"/>
              <w:rPr>
                <w:rFonts w:hint="eastAsia" w:ascii="仿宋_GB2312" w:hAnsi="仿宋_GB2312" w:eastAsia="仿宋_GB2312" w:cs="仿宋_GB2312"/>
                <w:sz w:val="24"/>
                <w:szCs w:val="24"/>
                <w:u w:val="none"/>
                <w:lang w:val="en-US" w:eastAsia="zh-CN"/>
              </w:rPr>
            </w:pPr>
          </w:p>
        </w:tc>
        <w:tc>
          <w:tcPr>
            <w:tcW w:w="1776" w:type="dxa"/>
            <w:vAlign w:val="center"/>
          </w:tcPr>
          <w:p w14:paraId="67B31FBE">
            <w:pPr>
              <w:keepNext w:val="0"/>
              <w:keepLines w:val="0"/>
              <w:suppressLineNumbers w:val="0"/>
              <w:spacing w:before="0" w:beforeAutospacing="0" w:after="0" w:afterAutospacing="0"/>
              <w:ind w:left="0" w:right="0"/>
              <w:jc w:val="both"/>
              <w:rPr>
                <w:rFonts w:hint="eastAsia" w:ascii="仿宋_GB2312" w:hAnsi="仿宋_GB2312" w:eastAsia="仿宋_GB2312" w:cs="仿宋_GB2312"/>
                <w:sz w:val="24"/>
                <w:szCs w:val="24"/>
                <w:u w:val="none"/>
                <w:lang w:val="en-US" w:eastAsia="zh-CN"/>
              </w:rPr>
            </w:pPr>
            <w:r>
              <w:rPr>
                <w:rFonts w:hint="eastAsia" w:ascii="仿宋_GB2312" w:hAnsi="仿宋_GB2312" w:eastAsia="仿宋_GB2312" w:cs="仿宋_GB2312"/>
                <w:sz w:val="24"/>
                <w:szCs w:val="24"/>
                <w:u w:val="none"/>
                <w:lang w:val="en-US" w:eastAsia="zh-CN"/>
              </w:rPr>
              <w:t>李仕平销售非法烟花爆竹案</w:t>
            </w:r>
          </w:p>
          <w:p w14:paraId="43AEDCB4">
            <w:pPr>
              <w:keepNext w:val="0"/>
              <w:keepLines w:val="0"/>
              <w:suppressLineNumbers w:val="0"/>
              <w:spacing w:before="0" w:beforeAutospacing="0" w:after="0" w:afterAutospacing="0"/>
              <w:ind w:left="0" w:right="0"/>
              <w:jc w:val="both"/>
              <w:rPr>
                <w:rFonts w:hint="eastAsia" w:ascii="仿宋_GB2312" w:hAnsi="仿宋_GB2312" w:eastAsia="仿宋_GB2312" w:cs="仿宋_GB2312"/>
                <w:sz w:val="24"/>
                <w:szCs w:val="24"/>
                <w:u w:val="none"/>
                <w:lang w:val="en-US" w:eastAsia="zh-CN"/>
              </w:rPr>
            </w:pPr>
          </w:p>
        </w:tc>
        <w:tc>
          <w:tcPr>
            <w:tcW w:w="1440" w:type="dxa"/>
            <w:vAlign w:val="center"/>
          </w:tcPr>
          <w:p w14:paraId="7F17B71C">
            <w:pPr>
              <w:keepNext w:val="0"/>
              <w:keepLines w:val="0"/>
              <w:suppressLineNumbers w:val="0"/>
              <w:spacing w:before="0" w:beforeAutospacing="0" w:after="0" w:afterAutospacing="0"/>
              <w:ind w:left="0" w:right="0"/>
              <w:jc w:val="both"/>
              <w:rPr>
                <w:rFonts w:hint="eastAsia" w:ascii="仿宋_GB2312" w:hAnsi="仿宋_GB2312" w:eastAsia="仿宋_GB2312" w:cs="仿宋_GB2312"/>
                <w:sz w:val="24"/>
                <w:szCs w:val="24"/>
                <w:u w:val="none"/>
                <w:lang w:val="en-US" w:eastAsia="zh-CN"/>
              </w:rPr>
            </w:pPr>
            <w:r>
              <w:rPr>
                <w:rFonts w:hint="eastAsia" w:ascii="仿宋_GB2312" w:hAnsi="仿宋_GB2312" w:eastAsia="仿宋_GB2312" w:cs="仿宋_GB2312"/>
                <w:sz w:val="24"/>
                <w:szCs w:val="24"/>
                <w:u w:val="none"/>
                <w:lang w:val="en-US" w:eastAsia="zh-CN"/>
              </w:rPr>
              <w:t>李仕平</w:t>
            </w:r>
          </w:p>
        </w:tc>
        <w:tc>
          <w:tcPr>
            <w:tcW w:w="2355" w:type="dxa"/>
            <w:vAlign w:val="center"/>
          </w:tcPr>
          <w:p w14:paraId="3FB754D8">
            <w:pPr>
              <w:keepNext w:val="0"/>
              <w:keepLines w:val="0"/>
              <w:suppressLineNumbers w:val="0"/>
              <w:spacing w:before="0" w:beforeAutospacing="0" w:after="0" w:afterAutospacing="0"/>
              <w:ind w:left="0" w:right="0"/>
              <w:jc w:val="both"/>
              <w:rPr>
                <w:rFonts w:hint="eastAsia" w:ascii="仿宋_GB2312" w:hAnsi="仿宋_GB2312" w:eastAsia="仿宋_GB2312" w:cs="仿宋_GB2312"/>
                <w:sz w:val="24"/>
                <w:szCs w:val="24"/>
                <w:u w:val="none"/>
                <w:lang w:val="en-US" w:eastAsia="zh-CN"/>
              </w:rPr>
            </w:pPr>
            <w:r>
              <w:rPr>
                <w:rFonts w:hint="eastAsia" w:ascii="仿宋_GB2312" w:hAnsi="仿宋_GB2312" w:eastAsia="仿宋_GB2312" w:cs="仿宋_GB2312"/>
                <w:sz w:val="24"/>
                <w:szCs w:val="24"/>
                <w:u w:val="none"/>
                <w:lang w:val="en-US" w:eastAsia="zh-CN"/>
              </w:rPr>
              <w:t>李仕平销售非法烟花爆竹案</w:t>
            </w:r>
          </w:p>
          <w:p w14:paraId="7A7E090C">
            <w:pPr>
              <w:keepNext w:val="0"/>
              <w:keepLines w:val="0"/>
              <w:suppressLineNumbers w:val="0"/>
              <w:spacing w:before="0" w:beforeAutospacing="0" w:after="0" w:afterAutospacing="0"/>
              <w:ind w:left="0" w:right="0"/>
              <w:jc w:val="both"/>
              <w:rPr>
                <w:rFonts w:hint="default" w:ascii="仿宋_GB2312" w:hAnsi="仿宋_GB2312" w:eastAsia="仿宋_GB2312" w:cs="仿宋_GB2312"/>
                <w:sz w:val="24"/>
                <w:szCs w:val="24"/>
                <w:u w:val="none"/>
                <w:lang w:val="en-US" w:eastAsia="zh-CN"/>
              </w:rPr>
            </w:pPr>
            <w:bookmarkStart w:id="0" w:name="_GoBack"/>
            <w:bookmarkEnd w:id="0"/>
          </w:p>
        </w:tc>
        <w:tc>
          <w:tcPr>
            <w:tcW w:w="1705" w:type="dxa"/>
            <w:vAlign w:val="center"/>
          </w:tcPr>
          <w:p w14:paraId="69C94CC1">
            <w:pPr>
              <w:keepNext w:val="0"/>
              <w:keepLines w:val="0"/>
              <w:suppressLineNumbers w:val="0"/>
              <w:spacing w:before="0" w:beforeAutospacing="0" w:after="0" w:afterAutospacing="0"/>
              <w:ind w:left="0" w:right="0"/>
              <w:jc w:val="both"/>
              <w:rPr>
                <w:rFonts w:hint="eastAsia" w:ascii="仿宋_GB2312" w:hAnsi="仿宋_GB2312" w:eastAsia="仿宋_GB2312" w:cs="仿宋_GB2312"/>
                <w:sz w:val="24"/>
                <w:szCs w:val="24"/>
                <w:u w:val="none"/>
                <w:lang w:val="en-US" w:eastAsia="zh-CN"/>
              </w:rPr>
            </w:pPr>
            <w:r>
              <w:rPr>
                <w:rFonts w:hint="eastAsia" w:ascii="仿宋_GB2312" w:hAnsi="仿宋_GB2312" w:eastAsia="仿宋_GB2312" w:cs="仿宋_GB2312"/>
                <w:sz w:val="24"/>
                <w:szCs w:val="24"/>
                <w:u w:val="none"/>
                <w:lang w:val="en-US" w:eastAsia="zh-CN"/>
              </w:rPr>
              <w:t>《烟花爆竹经营许可实施办法》第三十四条第（一）项</w:t>
            </w:r>
          </w:p>
          <w:p w14:paraId="485C8BEC">
            <w:pPr>
              <w:keepNext w:val="0"/>
              <w:keepLines w:val="0"/>
              <w:suppressLineNumbers w:val="0"/>
              <w:spacing w:before="0" w:beforeAutospacing="0" w:after="0" w:afterAutospacing="0"/>
              <w:ind w:left="0" w:right="0"/>
              <w:jc w:val="both"/>
              <w:rPr>
                <w:rFonts w:hint="eastAsia" w:ascii="仿宋_GB2312" w:hAnsi="仿宋_GB2312" w:eastAsia="仿宋_GB2312" w:cs="仿宋_GB2312"/>
                <w:sz w:val="24"/>
                <w:szCs w:val="24"/>
                <w:u w:val="none"/>
                <w:lang w:val="en-US" w:eastAsia="zh-CN"/>
              </w:rPr>
            </w:pPr>
          </w:p>
        </w:tc>
        <w:tc>
          <w:tcPr>
            <w:tcW w:w="1759" w:type="dxa"/>
            <w:vAlign w:val="center"/>
          </w:tcPr>
          <w:p w14:paraId="41058945">
            <w:pPr>
              <w:keepNext w:val="0"/>
              <w:keepLines w:val="0"/>
              <w:numPr>
                <w:ilvl w:val="0"/>
                <w:numId w:val="1"/>
              </w:numPr>
              <w:suppressLineNumbers w:val="0"/>
              <w:spacing w:before="0" w:beforeAutospacing="0" w:after="0" w:afterAutospacing="0"/>
              <w:ind w:left="0" w:right="0"/>
              <w:jc w:val="both"/>
              <w:rPr>
                <w:rFonts w:hint="eastAsia" w:ascii="仿宋_GB2312" w:hAnsi="仿宋_GB2312" w:eastAsia="仿宋_GB2312" w:cs="仿宋_GB2312"/>
                <w:sz w:val="24"/>
                <w:szCs w:val="24"/>
                <w:u w:val="none"/>
                <w:lang w:val="en-US" w:eastAsia="zh-CN"/>
              </w:rPr>
            </w:pPr>
            <w:r>
              <w:rPr>
                <w:rFonts w:hint="eastAsia" w:ascii="仿宋_GB2312" w:hAnsi="仿宋_GB2312" w:eastAsia="仿宋_GB2312" w:cs="仿宋_GB2312"/>
                <w:sz w:val="24"/>
                <w:szCs w:val="24"/>
                <w:u w:val="none"/>
                <w:lang w:val="en-US" w:eastAsia="zh-CN"/>
              </w:rPr>
              <w:t>罚款 1200 元（壹仟贰佰元整）2.没收违法所得 35.00 元（叁拾伍元整）；3.没收非法烟花爆竹</w:t>
            </w:r>
          </w:p>
          <w:p w14:paraId="5952D1D3">
            <w:pPr>
              <w:keepNext w:val="0"/>
              <w:keepLines w:val="0"/>
              <w:suppressLineNumbers w:val="0"/>
              <w:spacing w:before="0" w:beforeAutospacing="0" w:after="0" w:afterAutospacing="0"/>
              <w:ind w:left="0" w:right="0"/>
              <w:jc w:val="both"/>
              <w:rPr>
                <w:rFonts w:hint="eastAsia" w:ascii="仿宋_GB2312" w:hAnsi="仿宋_GB2312" w:eastAsia="仿宋_GB2312" w:cs="仿宋_GB2312"/>
                <w:sz w:val="24"/>
                <w:szCs w:val="24"/>
                <w:u w:val="none"/>
                <w:lang w:val="en-US" w:eastAsia="zh-CN"/>
              </w:rPr>
            </w:pPr>
          </w:p>
        </w:tc>
        <w:tc>
          <w:tcPr>
            <w:tcW w:w="1188" w:type="dxa"/>
            <w:vAlign w:val="center"/>
          </w:tcPr>
          <w:p w14:paraId="30F95CE8">
            <w:pPr>
              <w:keepNext w:val="0"/>
              <w:keepLines w:val="0"/>
              <w:suppressLineNumbers w:val="0"/>
              <w:spacing w:before="0" w:beforeAutospacing="0" w:after="0" w:afterAutospacing="0"/>
              <w:ind w:left="0" w:right="0"/>
              <w:jc w:val="both"/>
              <w:rPr>
                <w:rFonts w:hint="eastAsia" w:ascii="仿宋_GB2312" w:hAnsi="仿宋_GB2312" w:eastAsia="仿宋_GB2312" w:cs="仿宋_GB2312"/>
                <w:sz w:val="24"/>
                <w:szCs w:val="24"/>
                <w:u w:val="none"/>
                <w:lang w:val="en-US" w:eastAsia="zh-CN"/>
              </w:rPr>
            </w:pPr>
            <w:r>
              <w:rPr>
                <w:rFonts w:hint="eastAsia" w:ascii="仿宋_GB2312" w:hAnsi="仿宋_GB2312" w:eastAsia="仿宋_GB2312" w:cs="仿宋_GB2312"/>
                <w:sz w:val="24"/>
                <w:szCs w:val="24"/>
                <w:u w:val="none"/>
                <w:lang w:val="en-US" w:eastAsia="zh-CN"/>
              </w:rPr>
              <w:t>2025年4月3日</w:t>
            </w:r>
          </w:p>
        </w:tc>
        <w:tc>
          <w:tcPr>
            <w:tcW w:w="954" w:type="dxa"/>
            <w:shd w:val="clear" w:color="auto" w:fill="auto"/>
            <w:vAlign w:val="center"/>
          </w:tcPr>
          <w:p w14:paraId="029B9071">
            <w:pPr>
              <w:keepNext w:val="0"/>
              <w:keepLines w:val="0"/>
              <w:suppressLineNumbers w:val="0"/>
              <w:spacing w:before="0" w:beforeAutospacing="0" w:after="0" w:afterAutospacing="0"/>
              <w:ind w:left="0" w:right="0"/>
              <w:jc w:val="both"/>
              <w:rPr>
                <w:rFonts w:hint="eastAsia" w:ascii="仿宋_GB2312" w:hAnsi="仿宋_GB2312" w:eastAsia="仿宋_GB2312" w:cs="仿宋_GB2312"/>
                <w:sz w:val="24"/>
                <w:szCs w:val="24"/>
                <w:u w:val="none"/>
                <w:lang w:val="en-US" w:eastAsia="zh-CN"/>
              </w:rPr>
            </w:pPr>
            <w:r>
              <w:rPr>
                <w:rFonts w:hint="eastAsia" w:ascii="仿宋_GB2312" w:hAnsi="仿宋_GB2312" w:eastAsia="仿宋_GB2312" w:cs="仿宋_GB2312"/>
                <w:sz w:val="24"/>
                <w:szCs w:val="24"/>
                <w:u w:val="none"/>
                <w:lang w:val="en-US" w:eastAsia="zh-CN"/>
              </w:rPr>
              <w:t>巫溪县应急管理局</w:t>
            </w:r>
          </w:p>
        </w:tc>
        <w:tc>
          <w:tcPr>
            <w:tcW w:w="1020" w:type="dxa"/>
            <w:shd w:val="clear" w:color="auto" w:fill="auto"/>
            <w:vAlign w:val="center"/>
          </w:tcPr>
          <w:p w14:paraId="611C7D5E">
            <w:pPr>
              <w:keepNext w:val="0"/>
              <w:keepLines w:val="0"/>
              <w:suppressLineNumbers w:val="0"/>
              <w:spacing w:before="0" w:beforeAutospacing="0" w:after="0" w:afterAutospacing="0"/>
              <w:ind w:left="0" w:right="0"/>
              <w:jc w:val="both"/>
              <w:rPr>
                <w:rFonts w:hint="eastAsia" w:ascii="仿宋_GB2312" w:hAnsi="仿宋_GB2312" w:eastAsia="仿宋_GB2312" w:cs="仿宋_GB2312"/>
                <w:sz w:val="24"/>
                <w:szCs w:val="24"/>
                <w:u w:val="none"/>
                <w:lang w:val="en-US" w:eastAsia="zh-CN"/>
              </w:rPr>
            </w:pPr>
            <w:r>
              <w:rPr>
                <w:rFonts w:hint="eastAsia" w:ascii="仿宋_GB2312" w:hAnsi="仿宋_GB2312" w:eastAsia="仿宋_GB2312" w:cs="仿宋_GB2312"/>
                <w:sz w:val="24"/>
                <w:szCs w:val="24"/>
                <w:u w:val="none"/>
                <w:lang w:val="en-US" w:eastAsia="zh-CN"/>
              </w:rPr>
              <w:t>陈鑫芳</w:t>
            </w:r>
          </w:p>
        </w:tc>
      </w:tr>
    </w:tbl>
    <w:p w14:paraId="3BBCACBD">
      <w:pPr>
        <w:rPr>
          <w:rFonts w:hint="eastAsia" w:ascii="Times New Roman" w:hAnsi="Times New Roman" w:eastAsia="方正小标宋_GBK" w:cs="Times New Roman"/>
          <w:color w:val="auto"/>
          <w:sz w:val="44"/>
          <w:szCs w:val="44"/>
          <w:vertAlign w:val="baseline"/>
          <w:lang w:val="en-US" w:eastAsia="zh-CN"/>
        </w:rPr>
      </w:pPr>
    </w:p>
    <w:sectPr>
      <w:pgSz w:w="16838" w:h="11906" w:orient="landscape"/>
      <w:pgMar w:top="1134" w:right="1440" w:bottom="1134"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7DB9766"/>
    <w:multiLevelType w:val="singleLevel"/>
    <w:tmpl w:val="F7DB9766"/>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E4YjVlMTFjMTRmOTkxOWRmNWU2MjZiYmZhOGYxZTEifQ=="/>
  </w:docVars>
  <w:rsids>
    <w:rsidRoot w:val="5897666A"/>
    <w:rsid w:val="01D00A9D"/>
    <w:rsid w:val="065648B6"/>
    <w:rsid w:val="0A80062A"/>
    <w:rsid w:val="0F6737DF"/>
    <w:rsid w:val="0F9C2417"/>
    <w:rsid w:val="13410A74"/>
    <w:rsid w:val="18FF7FC8"/>
    <w:rsid w:val="1AF91176"/>
    <w:rsid w:val="21E83B15"/>
    <w:rsid w:val="238C0DC0"/>
    <w:rsid w:val="2B205A44"/>
    <w:rsid w:val="2B815118"/>
    <w:rsid w:val="34B45835"/>
    <w:rsid w:val="361A5518"/>
    <w:rsid w:val="385C788A"/>
    <w:rsid w:val="3966519D"/>
    <w:rsid w:val="3BFB21FC"/>
    <w:rsid w:val="3BFF0FA3"/>
    <w:rsid w:val="3E8752F1"/>
    <w:rsid w:val="3F0DE06A"/>
    <w:rsid w:val="49C8410F"/>
    <w:rsid w:val="4DE465C8"/>
    <w:rsid w:val="5336063E"/>
    <w:rsid w:val="5897666A"/>
    <w:rsid w:val="5CA546F2"/>
    <w:rsid w:val="5CE48F3C"/>
    <w:rsid w:val="5DE01E9E"/>
    <w:rsid w:val="61877CA4"/>
    <w:rsid w:val="64EF63FE"/>
    <w:rsid w:val="68A145FF"/>
    <w:rsid w:val="69555325"/>
    <w:rsid w:val="69E62014"/>
    <w:rsid w:val="6A4D29E3"/>
    <w:rsid w:val="6B2F52DC"/>
    <w:rsid w:val="6FCAAF40"/>
    <w:rsid w:val="75BD457C"/>
    <w:rsid w:val="76675FB7"/>
    <w:rsid w:val="77FEA284"/>
    <w:rsid w:val="79AC42F6"/>
    <w:rsid w:val="7BEFC96B"/>
    <w:rsid w:val="7BFF7E28"/>
    <w:rsid w:val="7FE7E3CF"/>
    <w:rsid w:val="7FFE846A"/>
    <w:rsid w:val="B8F6AED0"/>
    <w:rsid w:val="BF958CAA"/>
    <w:rsid w:val="CFDDA17A"/>
    <w:rsid w:val="D6FD3803"/>
    <w:rsid w:val="DFD74F98"/>
    <w:rsid w:val="F7F92C50"/>
    <w:rsid w:val="FE8B6710"/>
    <w:rsid w:val="FEC5F420"/>
    <w:rsid w:val="FFF7AC78"/>
    <w:rsid w:val="FFFF04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table" w:styleId="3">
    <w:name w:val="Table Grid"/>
    <w:basedOn w:val="2"/>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 w:type="character" w:styleId="5">
    <w:name w:val="Strong"/>
    <w:basedOn w:val="4"/>
    <w:qFormat/>
    <w:uiPriority w:val="0"/>
    <w:rPr>
      <w:b/>
    </w:rPr>
  </w:style>
  <w:style w:type="paragraph" w:customStyle="1" w:styleId="6">
    <w:name w:val="正文-公1"/>
    <w:basedOn w:val="1"/>
    <w:next w:val="1"/>
    <w:qFormat/>
    <w:uiPriority w:val="0"/>
    <w:pPr>
      <w:ind w:firstLine="200" w:firstLineChars="200"/>
      <w:jc w:val="left"/>
    </w:pPr>
    <w:rPr>
      <w:rFonts w:eastAsia="仿宋_GB231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192</Words>
  <Characters>212</Characters>
  <Lines>1</Lines>
  <Paragraphs>1</Paragraphs>
  <TotalTime>6</TotalTime>
  <ScaleCrop>false</ScaleCrop>
  <LinksUpToDate>false</LinksUpToDate>
  <CharactersWithSpaces>212</CharactersWithSpaces>
  <Application>WPS Office_12.8.2.1116_F1E327BC-269C-435d-A152-05C5408002CA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2023-10-31T08:35:00Z</dcterms:created>
  <dc:creator>Administrator</dc:creator>
  <cp:lastModifiedBy>杜春花</cp:lastModifiedBy>
  <dcterms:modified xsi:type="dcterms:W3CDTF">2025-04-24T10:13:30Z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2052-12.8.2.1116</vt:lpwstr>
  </property>
  <property fmtid="{D5CDD505-2E9C-101B-9397-08002B2CF9AE}" pid="3" name="ICV">
    <vt:lpwstr>B8D644E0B8F2447EA3676F11722E7533_13</vt:lpwstr>
  </property>
  <property fmtid="{D5CDD505-2E9C-101B-9397-08002B2CF9AE}" pid="4" name="KSOTemplateDocerSaveRecord">
    <vt:lpwstr>eyJoZGlkIjoiNDE4YjVlMTFjMTRmOTkxOWRmNWU2MjZiYmZhOGYxZTEiLCJ1c2VySWQiOiIxNTU5NTkxODIxIn0=</vt:lpwstr>
  </property>
</Properties>
</file>