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0" w:beforeLines="0" w:afterLines="0"/>
        <w:rPr>
          <w:b w:val="0"/>
          <w:bCs w:val="0"/>
        </w:rPr>
      </w:pPr>
    </w:p>
    <w:p>
      <w:pPr>
        <w:spacing w:before="0" w:beforeLines="0" w:afterLines="0"/>
        <w:rPr>
          <w:b w:val="0"/>
          <w:bCs w:val="0"/>
        </w:rPr>
      </w:pPr>
    </w:p>
    <w:p>
      <w:pPr>
        <w:spacing w:before="0" w:beforeLines="0" w:afterLines="0"/>
        <w:rPr>
          <w:b w:val="0"/>
          <w:bCs w:val="0"/>
        </w:rPr>
      </w:pPr>
    </w:p>
    <w:p>
      <w:pPr>
        <w:spacing w:before="0" w:beforeLines="0" w:afterLines="0"/>
        <w:rPr>
          <w:b w:val="0"/>
          <w:bCs w:val="0"/>
        </w:rPr>
      </w:pPr>
    </w:p>
    <w:p>
      <w:pPr>
        <w:tabs>
          <w:tab w:val="left" w:pos="1264"/>
        </w:tabs>
        <w:spacing w:before="0" w:beforeLines="0" w:afterLines="0"/>
        <w:rPr>
          <w:b w:val="0"/>
          <w:bCs w:val="0"/>
        </w:rPr>
      </w:pPr>
      <w:r>
        <w:rPr>
          <w:b w:val="0"/>
          <w:bCs w:val="0"/>
        </w:rPr>
        <w:tab/>
      </w:r>
    </w:p>
    <w:p>
      <w:pPr>
        <w:pStyle w:val="2"/>
        <w:rPr>
          <w:rFonts w:hint="eastAsia"/>
        </w:rPr>
      </w:pPr>
    </w:p>
    <w:p>
      <w:pPr>
        <w:tabs>
          <w:tab w:val="left" w:pos="1264"/>
        </w:tabs>
        <w:spacing w:before="0" w:beforeLines="0" w:afterLines="0"/>
        <w:rPr>
          <w:rFonts w:hint="eastAsia"/>
          <w:b w:val="0"/>
          <w:bCs w:val="0"/>
        </w:rPr>
      </w:pPr>
    </w:p>
    <w:p>
      <w:pPr>
        <w:tabs>
          <w:tab w:val="left" w:pos="8505"/>
        </w:tabs>
        <w:snapToGrid w:val="0"/>
        <w:spacing w:before="0" w:beforeLines="0" w:afterLines="0" w:line="720" w:lineRule="atLeast"/>
        <w:jc w:val="center"/>
        <w:rPr>
          <w:rFonts w:hint="eastAsia" w:eastAsia="方正小标宋_GBK"/>
          <w:b w:val="0"/>
          <w:bCs w:val="0"/>
          <w:sz w:val="44"/>
          <w:szCs w:val="44"/>
        </w:rPr>
      </w:pPr>
      <w:r>
        <w:rPr>
          <w:rFonts w:hint="eastAsia" w:eastAsia="方正小标宋_GBK"/>
          <w:b w:val="0"/>
          <w:bCs w:val="0"/>
          <w:sz w:val="44"/>
          <w:szCs w:val="44"/>
        </w:rPr>
        <w:t>巫溪县人民政府办公室</w:t>
      </w:r>
    </w:p>
    <w:p>
      <w:pPr>
        <w:tabs>
          <w:tab w:val="left" w:pos="8505"/>
        </w:tabs>
        <w:snapToGrid w:val="0"/>
        <w:spacing w:before="0" w:beforeLines="0" w:afterLines="0" w:line="720" w:lineRule="atLeast"/>
        <w:jc w:val="center"/>
        <w:rPr>
          <w:rFonts w:hint="eastAsia" w:eastAsia="方正小标宋_GBK"/>
          <w:b w:val="0"/>
          <w:bCs w:val="0"/>
          <w:sz w:val="44"/>
          <w:szCs w:val="44"/>
        </w:rPr>
      </w:pPr>
      <w:r>
        <w:rPr>
          <w:rFonts w:hint="eastAsia" w:eastAsia="方正小标宋_GBK"/>
          <w:b w:val="0"/>
          <w:bCs w:val="0"/>
          <w:sz w:val="44"/>
          <w:szCs w:val="44"/>
        </w:rPr>
        <w:t>关于印发巫溪县重污染天气应急预案</w:t>
      </w:r>
    </w:p>
    <w:p>
      <w:pPr>
        <w:tabs>
          <w:tab w:val="left" w:pos="8505"/>
        </w:tabs>
        <w:snapToGrid w:val="0"/>
        <w:spacing w:before="0" w:beforeLines="0" w:afterLines="0" w:line="720" w:lineRule="atLeast"/>
        <w:jc w:val="center"/>
        <w:rPr>
          <w:rFonts w:hint="eastAsia" w:eastAsia="方正小标宋_GBK"/>
          <w:b w:val="0"/>
          <w:bCs w:val="0"/>
          <w:sz w:val="44"/>
          <w:szCs w:val="44"/>
        </w:rPr>
      </w:pPr>
      <w:r>
        <w:rPr>
          <w:rFonts w:hint="eastAsia" w:eastAsia="方正小标宋_GBK"/>
          <w:b w:val="0"/>
          <w:bCs w:val="0"/>
          <w:sz w:val="44"/>
          <w:szCs w:val="44"/>
        </w:rPr>
        <w:t>（2022年修订版）的通知</w:t>
      </w:r>
    </w:p>
    <w:p>
      <w:pPr>
        <w:spacing w:before="0" w:beforeLines="0" w:afterLines="0"/>
        <w:jc w:val="center"/>
        <w:rPr>
          <w:b w:val="0"/>
          <w:bCs w:val="0"/>
          <w:kern w:val="0"/>
          <w:szCs w:val="32"/>
        </w:rPr>
      </w:pPr>
    </w:p>
    <w:p>
      <w:pPr>
        <w:spacing w:before="0" w:beforeLines="0" w:afterLines="0"/>
        <w:jc w:val="center"/>
        <w:rPr>
          <w:b w:val="0"/>
          <w:bCs w:val="0"/>
          <w:kern w:val="0"/>
          <w:szCs w:val="32"/>
        </w:rPr>
      </w:pPr>
      <w:r>
        <w:rPr>
          <w:b w:val="0"/>
          <w:bCs w:val="0"/>
          <w:kern w:val="0"/>
          <w:szCs w:val="32"/>
        </w:rPr>
        <w:t>巫溪</w:t>
      </w:r>
      <w:r>
        <w:rPr>
          <w:rFonts w:hint="eastAsia"/>
          <w:b w:val="0"/>
          <w:bCs w:val="0"/>
          <w:kern w:val="0"/>
          <w:szCs w:val="32"/>
        </w:rPr>
        <w:t>府办发</w:t>
      </w:r>
      <w:r>
        <w:rPr>
          <w:b w:val="0"/>
          <w:bCs w:val="0"/>
          <w:kern w:val="0"/>
          <w:szCs w:val="32"/>
        </w:rPr>
        <w:t>〔202</w:t>
      </w:r>
      <w:r>
        <w:rPr>
          <w:rFonts w:hint="eastAsia"/>
          <w:b w:val="0"/>
          <w:bCs w:val="0"/>
          <w:kern w:val="0"/>
          <w:szCs w:val="32"/>
        </w:rPr>
        <w:t>3</w:t>
      </w:r>
      <w:r>
        <w:rPr>
          <w:b w:val="0"/>
          <w:bCs w:val="0"/>
          <w:kern w:val="0"/>
          <w:szCs w:val="32"/>
        </w:rPr>
        <w:t>〕</w:t>
      </w:r>
      <w:r>
        <w:rPr>
          <w:rFonts w:hint="eastAsia"/>
          <w:b w:val="0"/>
          <w:bCs w:val="0"/>
          <w:kern w:val="0"/>
          <w:szCs w:val="32"/>
        </w:rPr>
        <w:t>1</w:t>
      </w:r>
      <w:r>
        <w:rPr>
          <w:b w:val="0"/>
          <w:bCs w:val="0"/>
          <w:kern w:val="0"/>
          <w:szCs w:val="32"/>
        </w:rPr>
        <w:t>号</w:t>
      </w:r>
    </w:p>
    <w:p>
      <w:pPr>
        <w:pStyle w:val="2"/>
        <w:rPr>
          <w:rFonts w:hint="eastAsia"/>
        </w:rPr>
      </w:pPr>
    </w:p>
    <w:p>
      <w:pPr>
        <w:spacing w:before="0" w:beforeLines="0" w:afterLines="0"/>
        <w:rPr>
          <w:rFonts w:hint="eastAsia" w:cs="方正仿宋_GBK"/>
          <w:b w:val="0"/>
          <w:bCs w:val="0"/>
          <w:szCs w:val="32"/>
        </w:rPr>
      </w:pPr>
      <w:r>
        <w:rPr>
          <w:rFonts w:hint="eastAsia" w:cs="方正仿宋_GBK"/>
          <w:b w:val="0"/>
          <w:bCs w:val="0"/>
          <w:szCs w:val="32"/>
        </w:rPr>
        <w:t>各乡镇人民政府、街道办事处，县政府各部门，有关单位：</w:t>
      </w:r>
    </w:p>
    <w:p>
      <w:pPr>
        <w:tabs>
          <w:tab w:val="left" w:pos="1264"/>
        </w:tabs>
        <w:spacing w:before="0" w:beforeLines="0" w:afterLines="0"/>
        <w:ind w:firstLine="632" w:firstLineChars="200"/>
        <w:rPr>
          <w:rFonts w:hint="eastAsia" w:cs="方正仿宋_GBK"/>
          <w:b w:val="0"/>
          <w:bCs w:val="0"/>
          <w:szCs w:val="32"/>
        </w:rPr>
      </w:pPr>
      <w:r>
        <w:rPr>
          <w:rFonts w:hint="eastAsia" w:cs="方正仿宋_GBK"/>
          <w:b w:val="0"/>
          <w:bCs w:val="0"/>
          <w:szCs w:val="32"/>
        </w:rPr>
        <w:t>《巫溪县重污染天气应急预案（2022年修订版）》已经县政府同意，现印发给你们，请认真遵照执行。</w:t>
      </w:r>
    </w:p>
    <w:p>
      <w:pPr>
        <w:tabs>
          <w:tab w:val="left" w:pos="1264"/>
        </w:tabs>
        <w:spacing w:before="0" w:beforeLines="0" w:afterLines="0"/>
        <w:rPr>
          <w:rFonts w:hint="eastAsia" w:cs="方正仿宋_GBK"/>
          <w:b w:val="0"/>
          <w:bCs w:val="0"/>
          <w:szCs w:val="32"/>
        </w:rPr>
      </w:pPr>
    </w:p>
    <w:p>
      <w:pPr>
        <w:tabs>
          <w:tab w:val="left" w:pos="1264"/>
        </w:tabs>
        <w:spacing w:before="0" w:beforeLines="0" w:afterLines="0"/>
        <w:rPr>
          <w:rFonts w:hint="eastAsia" w:cs="方正仿宋_GBK"/>
          <w:b w:val="0"/>
          <w:bCs w:val="0"/>
          <w:szCs w:val="32"/>
        </w:rPr>
      </w:pPr>
      <w:r>
        <w:rPr>
          <w:rFonts w:hint="eastAsia" w:cs="方正仿宋_GBK"/>
          <w:b w:val="0"/>
          <w:bCs w:val="0"/>
          <w:szCs w:val="32"/>
        </w:rPr>
        <w:t xml:space="preserve">                             巫溪县人民政府办公室    </w:t>
      </w:r>
    </w:p>
    <w:p>
      <w:pPr>
        <w:spacing w:before="0" w:beforeLines="0" w:afterLines="0"/>
        <w:rPr>
          <w:rFonts w:hint="eastAsia" w:cs="方正仿宋_GBK"/>
          <w:b w:val="0"/>
          <w:bCs w:val="0"/>
          <w:szCs w:val="32"/>
        </w:rPr>
      </w:pPr>
      <w:r>
        <w:rPr>
          <w:rFonts w:hint="eastAsia" w:cs="方正仿宋_GBK"/>
          <w:b w:val="0"/>
          <w:bCs w:val="0"/>
          <w:szCs w:val="32"/>
        </w:rPr>
        <w:t xml:space="preserve">　　　　　　　　　　　          2023年1月5日   </w:t>
      </w:r>
    </w:p>
    <w:p>
      <w:pPr>
        <w:pStyle w:val="2"/>
        <w:widowControl w:val="0"/>
        <w:adjustRightInd/>
        <w:snapToGrid/>
        <w:spacing w:before="0" w:beforeLines="0"/>
        <w:ind w:firstLine="632" w:firstLineChars="200"/>
        <w:jc w:val="both"/>
        <w:rPr>
          <w:rFonts w:hint="eastAsia" w:ascii="方正仿宋_GBK" w:hAnsi="方正仿宋_GBK" w:eastAsia="方正仿宋_GBK" w:cs="方正仿宋_GBK"/>
          <w:b w:val="0"/>
          <w:bCs w:val="0"/>
          <w:sz w:val="32"/>
          <w:szCs w:val="32"/>
        </w:rPr>
      </w:pPr>
      <w:r>
        <w:rPr>
          <w:rFonts w:hint="eastAsia" w:ascii="方正仿宋_GBK" w:hAnsi="方正仿宋_GBK" w:eastAsia="方正仿宋_GBK" w:cs="方正仿宋_GBK"/>
          <w:b w:val="0"/>
          <w:bCs w:val="0"/>
          <w:sz w:val="32"/>
          <w:szCs w:val="32"/>
          <w:lang w:eastAsia="zh-CN"/>
        </w:rPr>
        <w:t xml:space="preserve">（此件公开发布）  </w:t>
      </w:r>
    </w:p>
    <w:p>
      <w:pPr>
        <w:tabs>
          <w:tab w:val="left" w:pos="1264"/>
        </w:tabs>
        <w:spacing w:before="0" w:beforeLines="0" w:afterLines="0" w:line="240" w:lineRule="auto"/>
        <w:jc w:val="center"/>
        <w:outlineLvl w:val="0"/>
        <w:rPr>
          <w:rFonts w:hint="eastAsia" w:eastAsia="方正小标宋_GBK" w:cs="方正小标宋_GBK"/>
          <w:b w:val="0"/>
          <w:bCs w:val="0"/>
          <w:sz w:val="44"/>
          <w:szCs w:val="44"/>
        </w:rPr>
      </w:pPr>
    </w:p>
    <w:p>
      <w:pPr>
        <w:tabs>
          <w:tab w:val="left" w:pos="1264"/>
        </w:tabs>
        <w:spacing w:before="0" w:beforeLines="0" w:afterLines="0" w:line="240" w:lineRule="auto"/>
        <w:jc w:val="center"/>
        <w:outlineLvl w:val="0"/>
        <w:rPr>
          <w:rFonts w:hint="eastAsia" w:eastAsia="方正小标宋_GBK" w:cs="方正小标宋_GBK"/>
          <w:b w:val="0"/>
          <w:bCs w:val="0"/>
          <w:sz w:val="44"/>
          <w:szCs w:val="44"/>
        </w:rPr>
      </w:pPr>
      <w:r>
        <w:rPr>
          <w:rFonts w:hint="eastAsia" w:eastAsia="方正小标宋_GBK" w:cs="方正小标宋_GBK"/>
          <w:b w:val="0"/>
          <w:bCs w:val="0"/>
          <w:sz w:val="44"/>
          <w:szCs w:val="44"/>
        </w:rPr>
        <w:t>巫溪县空气重污染天气应急预案</w:t>
      </w:r>
    </w:p>
    <w:p>
      <w:pPr>
        <w:tabs>
          <w:tab w:val="left" w:pos="1264"/>
        </w:tabs>
        <w:spacing w:before="0" w:beforeLines="0" w:afterLines="0" w:line="240" w:lineRule="auto"/>
        <w:jc w:val="center"/>
        <w:rPr>
          <w:rFonts w:hint="eastAsia" w:eastAsia="方正楷体_GBK" w:cs="方正楷体_GBK"/>
          <w:b w:val="0"/>
          <w:bCs w:val="0"/>
          <w:szCs w:val="32"/>
        </w:rPr>
      </w:pPr>
      <w:r>
        <w:rPr>
          <w:rFonts w:hint="eastAsia" w:eastAsia="方正楷体_GBK" w:cs="方正楷体_GBK"/>
          <w:b w:val="0"/>
          <w:bCs w:val="0"/>
          <w:szCs w:val="32"/>
        </w:rPr>
        <w:t>（2022年修订版）</w:t>
      </w:r>
    </w:p>
    <w:p>
      <w:pPr>
        <w:pStyle w:val="2"/>
        <w:spacing w:before="0" w:beforeLines="0"/>
        <w:rPr>
          <w:rFonts w:hint="eastAsia"/>
          <w:b w:val="0"/>
          <w:bCs w:val="0"/>
          <w:lang w:eastAsia="zh-CN"/>
        </w:rPr>
      </w:pP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TOC \o "1-3" \h \u </w:instrText>
      </w:r>
      <w:r>
        <w:rPr>
          <w:rFonts w:ascii="Times New Roman"/>
          <w:b w:val="0"/>
          <w:bCs w:val="0"/>
        </w:rPr>
        <w:fldChar w:fldCharType="separate"/>
      </w:r>
      <w:r>
        <w:rPr>
          <w:rFonts w:ascii="Times New Roman"/>
          <w:b w:val="0"/>
          <w:bCs w:val="0"/>
        </w:rPr>
        <w:fldChar w:fldCharType="begin"/>
      </w:r>
      <w:r>
        <w:rPr>
          <w:rFonts w:ascii="Times New Roman"/>
          <w:b w:val="0"/>
          <w:bCs w:val="0"/>
        </w:rPr>
        <w:instrText xml:space="preserve"> HYPERLINK \l _Toc2412 </w:instrText>
      </w:r>
      <w:r>
        <w:rPr>
          <w:rFonts w:ascii="Times New Roman"/>
          <w:b w:val="0"/>
          <w:bCs w:val="0"/>
        </w:rPr>
        <w:fldChar w:fldCharType="separate"/>
      </w:r>
      <w:r>
        <w:rPr>
          <w:rFonts w:hint="eastAsia" w:ascii="Times New Roman"/>
          <w:b w:val="0"/>
          <w:bCs w:val="0"/>
        </w:rPr>
        <w:t>1 总则</w:t>
      </w:r>
      <w:r>
        <w:rPr>
          <w:rFonts w:ascii="Times New Roman"/>
          <w:b w:val="0"/>
          <w:bCs w:val="0"/>
        </w:rPr>
        <w:tab/>
      </w:r>
      <w:r>
        <w:rPr>
          <w:rFonts w:ascii="Times New Roman"/>
          <w:b w:val="0"/>
          <w:bCs w:val="0"/>
        </w:rPr>
        <w:fldChar w:fldCharType="begin"/>
      </w:r>
      <w:r>
        <w:rPr>
          <w:rFonts w:ascii="Times New Roman"/>
          <w:b w:val="0"/>
          <w:bCs w:val="0"/>
        </w:rPr>
        <w:instrText xml:space="preserve"> PAGEREF _Toc2412 \h </w:instrText>
      </w:r>
      <w:r>
        <w:rPr>
          <w:rFonts w:ascii="Times New Roman"/>
          <w:b w:val="0"/>
          <w:bCs w:val="0"/>
        </w:rPr>
        <w:fldChar w:fldCharType="separate"/>
      </w:r>
      <w:r>
        <w:rPr>
          <w:rFonts w:ascii="Times New Roman"/>
          <w:b w:val="0"/>
          <w:bCs w:val="0"/>
        </w:rPr>
        <w:t>4</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_Toc347 </w:instrText>
      </w:r>
      <w:r>
        <w:rPr>
          <w:rFonts w:ascii="Times New Roman"/>
          <w:b w:val="0"/>
          <w:bCs w:val="0"/>
        </w:rPr>
        <w:fldChar w:fldCharType="separate"/>
      </w:r>
      <w:r>
        <w:rPr>
          <w:rFonts w:hint="eastAsia" w:ascii="Times New Roman" w:eastAsia="方正楷体_GBK"/>
          <w:b w:val="0"/>
          <w:bCs w:val="0"/>
        </w:rPr>
        <w:t>1.1 编制目的</w:t>
      </w:r>
      <w:r>
        <w:rPr>
          <w:rFonts w:ascii="Times New Roman"/>
          <w:b w:val="0"/>
          <w:bCs w:val="0"/>
        </w:rPr>
        <w:tab/>
      </w:r>
      <w:r>
        <w:rPr>
          <w:rFonts w:ascii="Times New Roman"/>
          <w:b w:val="0"/>
          <w:bCs w:val="0"/>
        </w:rPr>
        <w:fldChar w:fldCharType="begin"/>
      </w:r>
      <w:r>
        <w:rPr>
          <w:rFonts w:ascii="Times New Roman"/>
          <w:b w:val="0"/>
          <w:bCs w:val="0"/>
        </w:rPr>
        <w:instrText xml:space="preserve"> PAGEREF _Toc347 \h </w:instrText>
      </w:r>
      <w:r>
        <w:rPr>
          <w:rFonts w:ascii="Times New Roman"/>
          <w:b w:val="0"/>
          <w:bCs w:val="0"/>
        </w:rPr>
        <w:fldChar w:fldCharType="separate"/>
      </w:r>
      <w:r>
        <w:rPr>
          <w:rFonts w:ascii="Times New Roman"/>
          <w:b w:val="0"/>
          <w:bCs w:val="0"/>
        </w:rPr>
        <w:t>4</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_Toc30184 </w:instrText>
      </w:r>
      <w:r>
        <w:rPr>
          <w:rFonts w:ascii="Times New Roman"/>
          <w:b w:val="0"/>
          <w:bCs w:val="0"/>
        </w:rPr>
        <w:fldChar w:fldCharType="separate"/>
      </w:r>
      <w:r>
        <w:rPr>
          <w:rFonts w:hint="eastAsia" w:ascii="Times New Roman" w:eastAsia="方正楷体_GBK"/>
          <w:b w:val="0"/>
          <w:bCs w:val="0"/>
        </w:rPr>
        <w:t>1.2 编制依据</w:t>
      </w:r>
      <w:r>
        <w:rPr>
          <w:rFonts w:ascii="Times New Roman"/>
          <w:b w:val="0"/>
          <w:bCs w:val="0"/>
        </w:rPr>
        <w:tab/>
      </w:r>
      <w:r>
        <w:rPr>
          <w:rFonts w:ascii="Times New Roman"/>
          <w:b w:val="0"/>
          <w:bCs w:val="0"/>
        </w:rPr>
        <w:fldChar w:fldCharType="begin"/>
      </w:r>
      <w:r>
        <w:rPr>
          <w:rFonts w:ascii="Times New Roman"/>
          <w:b w:val="0"/>
          <w:bCs w:val="0"/>
        </w:rPr>
        <w:instrText xml:space="preserve"> PAGEREF _Toc30184 \h </w:instrText>
      </w:r>
      <w:r>
        <w:rPr>
          <w:rFonts w:ascii="Times New Roman"/>
          <w:b w:val="0"/>
          <w:bCs w:val="0"/>
        </w:rPr>
        <w:fldChar w:fldCharType="separate"/>
      </w:r>
      <w:r>
        <w:rPr>
          <w:rFonts w:ascii="Times New Roman"/>
          <w:b w:val="0"/>
          <w:bCs w:val="0"/>
        </w:rPr>
        <w:t>4</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_Toc24099 </w:instrText>
      </w:r>
      <w:r>
        <w:rPr>
          <w:rFonts w:ascii="Times New Roman"/>
          <w:b w:val="0"/>
          <w:bCs w:val="0"/>
        </w:rPr>
        <w:fldChar w:fldCharType="separate"/>
      </w:r>
      <w:r>
        <w:rPr>
          <w:rFonts w:hint="eastAsia" w:ascii="Times New Roman" w:eastAsia="方正楷体_GBK"/>
          <w:b w:val="0"/>
          <w:bCs w:val="0"/>
        </w:rPr>
        <w:t>1.3 适用范围</w:t>
      </w:r>
      <w:r>
        <w:rPr>
          <w:rFonts w:ascii="Times New Roman"/>
          <w:b w:val="0"/>
          <w:bCs w:val="0"/>
        </w:rPr>
        <w:tab/>
      </w:r>
      <w:r>
        <w:rPr>
          <w:rFonts w:ascii="Times New Roman"/>
          <w:b w:val="0"/>
          <w:bCs w:val="0"/>
        </w:rPr>
        <w:fldChar w:fldCharType="begin"/>
      </w:r>
      <w:r>
        <w:rPr>
          <w:rFonts w:ascii="Times New Roman"/>
          <w:b w:val="0"/>
          <w:bCs w:val="0"/>
        </w:rPr>
        <w:instrText xml:space="preserve"> PAGEREF _Toc24099 \h </w:instrText>
      </w:r>
      <w:r>
        <w:rPr>
          <w:rFonts w:ascii="Times New Roman"/>
          <w:b w:val="0"/>
          <w:bCs w:val="0"/>
        </w:rPr>
        <w:fldChar w:fldCharType="separate"/>
      </w:r>
      <w:r>
        <w:rPr>
          <w:rFonts w:ascii="Times New Roman"/>
          <w:b w:val="0"/>
          <w:bCs w:val="0"/>
        </w:rPr>
        <w:t>4</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_Toc765 </w:instrText>
      </w:r>
      <w:r>
        <w:rPr>
          <w:rFonts w:ascii="Times New Roman"/>
          <w:b w:val="0"/>
          <w:bCs w:val="0"/>
        </w:rPr>
        <w:fldChar w:fldCharType="separate"/>
      </w:r>
      <w:r>
        <w:rPr>
          <w:rFonts w:hint="eastAsia" w:ascii="Times New Roman" w:eastAsia="方正楷体_GBK"/>
          <w:b w:val="0"/>
          <w:bCs w:val="0"/>
        </w:rPr>
        <w:t>1.4 工作原则</w:t>
      </w:r>
      <w:r>
        <w:rPr>
          <w:rFonts w:ascii="Times New Roman"/>
          <w:b w:val="0"/>
          <w:bCs w:val="0"/>
        </w:rPr>
        <w:tab/>
      </w:r>
      <w:r>
        <w:rPr>
          <w:rFonts w:ascii="Times New Roman"/>
          <w:b w:val="0"/>
          <w:bCs w:val="0"/>
        </w:rPr>
        <w:fldChar w:fldCharType="begin"/>
      </w:r>
      <w:r>
        <w:rPr>
          <w:rFonts w:ascii="Times New Roman"/>
          <w:b w:val="0"/>
          <w:bCs w:val="0"/>
        </w:rPr>
        <w:instrText xml:space="preserve"> PAGEREF _Toc765 \h </w:instrText>
      </w:r>
      <w:r>
        <w:rPr>
          <w:rFonts w:ascii="Times New Roman"/>
          <w:b w:val="0"/>
          <w:bCs w:val="0"/>
        </w:rPr>
        <w:fldChar w:fldCharType="separate"/>
      </w:r>
      <w:r>
        <w:rPr>
          <w:rFonts w:ascii="Times New Roman"/>
          <w:b w:val="0"/>
          <w:bCs w:val="0"/>
        </w:rPr>
        <w:t>5</w:t>
      </w:r>
      <w:r>
        <w:rPr>
          <w:rFonts w:ascii="Times New Roman"/>
          <w:b w:val="0"/>
          <w:bCs w:val="0"/>
        </w:rPr>
        <w:fldChar w:fldCharType="end"/>
      </w:r>
      <w:r>
        <w:rPr>
          <w:rFonts w:ascii="Times New Roman"/>
          <w:b w:val="0"/>
          <w:bCs w:val="0"/>
        </w:rPr>
        <w:fldChar w:fldCharType="end"/>
      </w: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 HYPERLINK \l _Toc11842 </w:instrText>
      </w:r>
      <w:r>
        <w:rPr>
          <w:rFonts w:ascii="Times New Roman"/>
          <w:b w:val="0"/>
          <w:bCs w:val="0"/>
        </w:rPr>
        <w:fldChar w:fldCharType="separate"/>
      </w:r>
      <w:r>
        <w:rPr>
          <w:rFonts w:hint="eastAsia" w:ascii="Times New Roman"/>
          <w:b w:val="0"/>
          <w:bCs w:val="0"/>
        </w:rPr>
        <w:t>2 组织指挥机构</w:t>
      </w:r>
      <w:r>
        <w:rPr>
          <w:rFonts w:ascii="Times New Roman"/>
          <w:b w:val="0"/>
          <w:bCs w:val="0"/>
        </w:rPr>
        <w:tab/>
      </w:r>
      <w:r>
        <w:rPr>
          <w:rFonts w:ascii="Times New Roman"/>
          <w:b w:val="0"/>
          <w:bCs w:val="0"/>
        </w:rPr>
        <w:fldChar w:fldCharType="begin"/>
      </w:r>
      <w:r>
        <w:rPr>
          <w:rFonts w:ascii="Times New Roman"/>
          <w:b w:val="0"/>
          <w:bCs w:val="0"/>
        </w:rPr>
        <w:instrText xml:space="preserve"> PAGEREF _Toc11842 \h </w:instrText>
      </w:r>
      <w:r>
        <w:rPr>
          <w:rFonts w:ascii="Times New Roman"/>
          <w:b w:val="0"/>
          <w:bCs w:val="0"/>
        </w:rPr>
        <w:fldChar w:fldCharType="separate"/>
      </w:r>
      <w:r>
        <w:rPr>
          <w:rFonts w:ascii="Times New Roman"/>
          <w:b w:val="0"/>
          <w:bCs w:val="0"/>
        </w:rPr>
        <w:t>5</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_Toc1962 </w:instrText>
      </w:r>
      <w:r>
        <w:rPr>
          <w:rFonts w:ascii="Times New Roman"/>
          <w:b w:val="0"/>
          <w:bCs w:val="0"/>
        </w:rPr>
        <w:fldChar w:fldCharType="separate"/>
      </w:r>
      <w:r>
        <w:rPr>
          <w:rFonts w:hint="eastAsia" w:ascii="Times New Roman" w:eastAsia="方正楷体_GBK"/>
          <w:b w:val="0"/>
          <w:bCs w:val="0"/>
        </w:rPr>
        <w:t>2.1 县级层面组织指挥机构</w:t>
      </w:r>
      <w:r>
        <w:rPr>
          <w:rFonts w:ascii="Times New Roman"/>
          <w:b w:val="0"/>
          <w:bCs w:val="0"/>
        </w:rPr>
        <w:tab/>
      </w:r>
      <w:r>
        <w:rPr>
          <w:rFonts w:ascii="Times New Roman"/>
          <w:b w:val="0"/>
          <w:bCs w:val="0"/>
        </w:rPr>
        <w:fldChar w:fldCharType="begin"/>
      </w:r>
      <w:r>
        <w:rPr>
          <w:rFonts w:ascii="Times New Roman"/>
          <w:b w:val="0"/>
          <w:bCs w:val="0"/>
        </w:rPr>
        <w:instrText xml:space="preserve"> PAGEREF _Toc1962 \h </w:instrText>
      </w:r>
      <w:r>
        <w:rPr>
          <w:rFonts w:ascii="Times New Roman"/>
          <w:b w:val="0"/>
          <w:bCs w:val="0"/>
        </w:rPr>
        <w:fldChar w:fldCharType="separate"/>
      </w:r>
      <w:r>
        <w:rPr>
          <w:rFonts w:ascii="Times New Roman"/>
          <w:b w:val="0"/>
          <w:bCs w:val="0"/>
        </w:rPr>
        <w:t>5</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_Toc12216 </w:instrText>
      </w:r>
      <w:r>
        <w:rPr>
          <w:rFonts w:ascii="Times New Roman"/>
          <w:b w:val="0"/>
          <w:bCs w:val="0"/>
        </w:rPr>
        <w:fldChar w:fldCharType="separate"/>
      </w:r>
      <w:r>
        <w:rPr>
          <w:rFonts w:hint="eastAsia" w:ascii="Times New Roman" w:eastAsia="方正楷体_GBK"/>
          <w:b w:val="0"/>
          <w:bCs w:val="0"/>
        </w:rPr>
        <w:t>2.2 应急工作组职责分配</w:t>
      </w:r>
      <w:r>
        <w:rPr>
          <w:rFonts w:ascii="Times New Roman"/>
          <w:b w:val="0"/>
          <w:bCs w:val="0"/>
        </w:rPr>
        <w:tab/>
      </w:r>
      <w:r>
        <w:rPr>
          <w:rFonts w:ascii="Times New Roman"/>
          <w:b w:val="0"/>
          <w:bCs w:val="0"/>
        </w:rPr>
        <w:fldChar w:fldCharType="begin"/>
      </w:r>
      <w:r>
        <w:rPr>
          <w:rFonts w:ascii="Times New Roman"/>
          <w:b w:val="0"/>
          <w:bCs w:val="0"/>
        </w:rPr>
        <w:instrText xml:space="preserve"> PAGEREF _Toc12216 \h </w:instrText>
      </w:r>
      <w:r>
        <w:rPr>
          <w:rFonts w:ascii="Times New Roman"/>
          <w:b w:val="0"/>
          <w:bCs w:val="0"/>
        </w:rPr>
        <w:fldChar w:fldCharType="separate"/>
      </w:r>
      <w:r>
        <w:rPr>
          <w:rFonts w:ascii="Times New Roman"/>
          <w:b w:val="0"/>
          <w:bCs w:val="0"/>
        </w:rPr>
        <w:t>6</w:t>
      </w:r>
      <w:r>
        <w:rPr>
          <w:rFonts w:ascii="Times New Roman"/>
          <w:b w:val="0"/>
          <w:bCs w:val="0"/>
        </w:rPr>
        <w:fldChar w:fldCharType="end"/>
      </w:r>
      <w:r>
        <w:rPr>
          <w:rFonts w:ascii="Times New Roman"/>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_Toc2284 </w:instrText>
      </w:r>
      <w:r>
        <w:rPr>
          <w:b w:val="0"/>
          <w:bCs w:val="0"/>
        </w:rPr>
        <w:fldChar w:fldCharType="separate"/>
      </w:r>
      <w:r>
        <w:rPr>
          <w:rFonts w:hint="eastAsia"/>
          <w:b w:val="0"/>
          <w:bCs w:val="0"/>
        </w:rPr>
        <w:t>2.2.1 综合协调组</w:t>
      </w:r>
      <w:r>
        <w:rPr>
          <w:b w:val="0"/>
          <w:bCs w:val="0"/>
        </w:rPr>
        <w:tab/>
      </w:r>
      <w:r>
        <w:rPr>
          <w:b w:val="0"/>
          <w:bCs w:val="0"/>
        </w:rPr>
        <w:fldChar w:fldCharType="begin"/>
      </w:r>
      <w:r>
        <w:rPr>
          <w:b w:val="0"/>
          <w:bCs w:val="0"/>
        </w:rPr>
        <w:instrText xml:space="preserve"> PAGEREF _Toc2284 \h </w:instrText>
      </w:r>
      <w:r>
        <w:rPr>
          <w:b w:val="0"/>
          <w:bCs w:val="0"/>
        </w:rPr>
        <w:fldChar w:fldCharType="separate"/>
      </w:r>
      <w:r>
        <w:rPr>
          <w:b w:val="0"/>
          <w:bCs w:val="0"/>
        </w:rPr>
        <w:t>6</w:t>
      </w:r>
      <w:r>
        <w:rPr>
          <w:b w:val="0"/>
          <w:bCs w:val="0"/>
        </w:rPr>
        <w:fldChar w:fldCharType="end"/>
      </w:r>
      <w:r>
        <w:rPr>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_Toc32420 </w:instrText>
      </w:r>
      <w:r>
        <w:rPr>
          <w:b w:val="0"/>
          <w:bCs w:val="0"/>
        </w:rPr>
        <w:fldChar w:fldCharType="separate"/>
      </w:r>
      <w:r>
        <w:rPr>
          <w:rFonts w:hint="eastAsia"/>
          <w:b w:val="0"/>
          <w:bCs w:val="0"/>
        </w:rPr>
        <w:t>2.2.2 工业应急组</w:t>
      </w:r>
      <w:r>
        <w:rPr>
          <w:b w:val="0"/>
          <w:bCs w:val="0"/>
        </w:rPr>
        <w:tab/>
      </w:r>
      <w:r>
        <w:rPr>
          <w:b w:val="0"/>
          <w:bCs w:val="0"/>
        </w:rPr>
        <w:fldChar w:fldCharType="begin"/>
      </w:r>
      <w:r>
        <w:rPr>
          <w:b w:val="0"/>
          <w:bCs w:val="0"/>
        </w:rPr>
        <w:instrText xml:space="preserve"> PAGEREF _Toc32420 \h </w:instrText>
      </w:r>
      <w:r>
        <w:rPr>
          <w:b w:val="0"/>
          <w:bCs w:val="0"/>
        </w:rPr>
        <w:fldChar w:fldCharType="separate"/>
      </w:r>
      <w:r>
        <w:rPr>
          <w:b w:val="0"/>
          <w:bCs w:val="0"/>
        </w:rPr>
        <w:t>7</w:t>
      </w:r>
      <w:r>
        <w:rPr>
          <w:b w:val="0"/>
          <w:bCs w:val="0"/>
        </w:rPr>
        <w:fldChar w:fldCharType="end"/>
      </w:r>
      <w:r>
        <w:rPr>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_Toc31024 </w:instrText>
      </w:r>
      <w:r>
        <w:rPr>
          <w:b w:val="0"/>
          <w:bCs w:val="0"/>
        </w:rPr>
        <w:fldChar w:fldCharType="separate"/>
      </w:r>
      <w:r>
        <w:rPr>
          <w:rFonts w:hint="eastAsia"/>
          <w:b w:val="0"/>
          <w:bCs w:val="0"/>
        </w:rPr>
        <w:t>2.2.3 城市扬尘应急组</w:t>
      </w:r>
      <w:r>
        <w:rPr>
          <w:b w:val="0"/>
          <w:bCs w:val="0"/>
        </w:rPr>
        <w:tab/>
      </w:r>
      <w:r>
        <w:rPr>
          <w:b w:val="0"/>
          <w:bCs w:val="0"/>
        </w:rPr>
        <w:fldChar w:fldCharType="begin"/>
      </w:r>
      <w:r>
        <w:rPr>
          <w:b w:val="0"/>
          <w:bCs w:val="0"/>
        </w:rPr>
        <w:instrText xml:space="preserve"> PAGEREF _Toc31024 \h </w:instrText>
      </w:r>
      <w:r>
        <w:rPr>
          <w:b w:val="0"/>
          <w:bCs w:val="0"/>
        </w:rPr>
        <w:fldChar w:fldCharType="separate"/>
      </w:r>
      <w:r>
        <w:rPr>
          <w:b w:val="0"/>
          <w:bCs w:val="0"/>
        </w:rPr>
        <w:t>7</w:t>
      </w:r>
      <w:r>
        <w:rPr>
          <w:b w:val="0"/>
          <w:bCs w:val="0"/>
        </w:rPr>
        <w:fldChar w:fldCharType="end"/>
      </w:r>
      <w:r>
        <w:rPr>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_Toc5987 </w:instrText>
      </w:r>
      <w:r>
        <w:rPr>
          <w:b w:val="0"/>
          <w:bCs w:val="0"/>
        </w:rPr>
        <w:fldChar w:fldCharType="separate"/>
      </w:r>
      <w:r>
        <w:rPr>
          <w:rFonts w:hint="eastAsia"/>
          <w:b w:val="0"/>
          <w:bCs w:val="0"/>
        </w:rPr>
        <w:t>2.2.4 机动车排气应急组</w:t>
      </w:r>
      <w:r>
        <w:rPr>
          <w:b w:val="0"/>
          <w:bCs w:val="0"/>
        </w:rPr>
        <w:tab/>
      </w:r>
      <w:r>
        <w:rPr>
          <w:b w:val="0"/>
          <w:bCs w:val="0"/>
        </w:rPr>
        <w:fldChar w:fldCharType="begin"/>
      </w:r>
      <w:r>
        <w:rPr>
          <w:b w:val="0"/>
          <w:bCs w:val="0"/>
        </w:rPr>
        <w:instrText xml:space="preserve"> PAGEREF _Toc5987 \h </w:instrText>
      </w:r>
      <w:r>
        <w:rPr>
          <w:b w:val="0"/>
          <w:bCs w:val="0"/>
        </w:rPr>
        <w:fldChar w:fldCharType="separate"/>
      </w:r>
      <w:r>
        <w:rPr>
          <w:b w:val="0"/>
          <w:bCs w:val="0"/>
        </w:rPr>
        <w:t>8</w:t>
      </w:r>
      <w:r>
        <w:rPr>
          <w:b w:val="0"/>
          <w:bCs w:val="0"/>
        </w:rPr>
        <w:fldChar w:fldCharType="end"/>
      </w:r>
      <w:r>
        <w:rPr>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_Toc28793 </w:instrText>
      </w:r>
      <w:r>
        <w:rPr>
          <w:b w:val="0"/>
          <w:bCs w:val="0"/>
        </w:rPr>
        <w:fldChar w:fldCharType="separate"/>
      </w:r>
      <w:r>
        <w:rPr>
          <w:rFonts w:hint="eastAsia"/>
          <w:b w:val="0"/>
          <w:bCs w:val="0"/>
        </w:rPr>
        <w:t>2.2.5 宣传引导组</w:t>
      </w:r>
      <w:r>
        <w:rPr>
          <w:b w:val="0"/>
          <w:bCs w:val="0"/>
        </w:rPr>
        <w:tab/>
      </w:r>
      <w:r>
        <w:rPr>
          <w:b w:val="0"/>
          <w:bCs w:val="0"/>
        </w:rPr>
        <w:fldChar w:fldCharType="begin"/>
      </w:r>
      <w:r>
        <w:rPr>
          <w:b w:val="0"/>
          <w:bCs w:val="0"/>
        </w:rPr>
        <w:instrText xml:space="preserve"> PAGEREF _Toc28793 \h </w:instrText>
      </w:r>
      <w:r>
        <w:rPr>
          <w:b w:val="0"/>
          <w:bCs w:val="0"/>
        </w:rPr>
        <w:fldChar w:fldCharType="separate"/>
      </w:r>
      <w:r>
        <w:rPr>
          <w:b w:val="0"/>
          <w:bCs w:val="0"/>
        </w:rPr>
        <w:t>8</w:t>
      </w:r>
      <w:r>
        <w:rPr>
          <w:b w:val="0"/>
          <w:bCs w:val="0"/>
        </w:rPr>
        <w:fldChar w:fldCharType="end"/>
      </w:r>
      <w:r>
        <w:rPr>
          <w:b w:val="0"/>
          <w:bCs w:val="0"/>
        </w:rPr>
        <w:fldChar w:fldCharType="end"/>
      </w: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 HYPERLINK \l _Toc29336 </w:instrText>
      </w:r>
      <w:r>
        <w:rPr>
          <w:rFonts w:ascii="Times New Roman"/>
          <w:b w:val="0"/>
          <w:bCs w:val="0"/>
        </w:rPr>
        <w:fldChar w:fldCharType="separate"/>
      </w:r>
      <w:r>
        <w:rPr>
          <w:rFonts w:hint="eastAsia" w:ascii="Times New Roman"/>
          <w:b w:val="0"/>
          <w:bCs w:val="0"/>
        </w:rPr>
        <w:t>3 监测与预警</w:t>
      </w:r>
      <w:r>
        <w:rPr>
          <w:rFonts w:ascii="Times New Roman"/>
          <w:b w:val="0"/>
          <w:bCs w:val="0"/>
        </w:rPr>
        <w:tab/>
      </w:r>
      <w:r>
        <w:rPr>
          <w:rFonts w:ascii="Times New Roman"/>
          <w:b w:val="0"/>
          <w:bCs w:val="0"/>
        </w:rPr>
        <w:fldChar w:fldCharType="begin"/>
      </w:r>
      <w:r>
        <w:rPr>
          <w:rFonts w:ascii="Times New Roman"/>
          <w:b w:val="0"/>
          <w:bCs w:val="0"/>
        </w:rPr>
        <w:instrText xml:space="preserve"> PAGEREF _Toc29336 \h </w:instrText>
      </w:r>
      <w:r>
        <w:rPr>
          <w:rFonts w:ascii="Times New Roman"/>
          <w:b w:val="0"/>
          <w:bCs w:val="0"/>
        </w:rPr>
        <w:fldChar w:fldCharType="separate"/>
      </w:r>
      <w:r>
        <w:rPr>
          <w:rFonts w:ascii="Times New Roman"/>
          <w:b w:val="0"/>
          <w:bCs w:val="0"/>
        </w:rPr>
        <w:t>8</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_Toc2757 </w:instrText>
      </w:r>
      <w:r>
        <w:rPr>
          <w:rFonts w:ascii="Times New Roman"/>
          <w:b w:val="0"/>
          <w:bCs w:val="0"/>
        </w:rPr>
        <w:fldChar w:fldCharType="separate"/>
      </w:r>
      <w:r>
        <w:rPr>
          <w:rFonts w:hint="eastAsia" w:ascii="Times New Roman" w:eastAsia="方正楷体_GBK"/>
          <w:b w:val="0"/>
          <w:bCs w:val="0"/>
        </w:rPr>
        <w:t>3.1 监测</w:t>
      </w:r>
      <w:r>
        <w:rPr>
          <w:rFonts w:ascii="Times New Roman"/>
          <w:b w:val="0"/>
          <w:bCs w:val="0"/>
        </w:rPr>
        <w:tab/>
      </w:r>
      <w:r>
        <w:rPr>
          <w:rFonts w:ascii="Times New Roman"/>
          <w:b w:val="0"/>
          <w:bCs w:val="0"/>
        </w:rPr>
        <w:fldChar w:fldCharType="begin"/>
      </w:r>
      <w:r>
        <w:rPr>
          <w:rFonts w:ascii="Times New Roman"/>
          <w:b w:val="0"/>
          <w:bCs w:val="0"/>
        </w:rPr>
        <w:instrText xml:space="preserve"> PAGEREF _Toc2757 \h </w:instrText>
      </w:r>
      <w:r>
        <w:rPr>
          <w:rFonts w:ascii="Times New Roman"/>
          <w:b w:val="0"/>
          <w:bCs w:val="0"/>
        </w:rPr>
        <w:fldChar w:fldCharType="separate"/>
      </w:r>
      <w:r>
        <w:rPr>
          <w:rFonts w:ascii="Times New Roman"/>
          <w:b w:val="0"/>
          <w:bCs w:val="0"/>
        </w:rPr>
        <w:t>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_Toc21137 </w:instrText>
      </w:r>
      <w:r>
        <w:rPr>
          <w:rFonts w:ascii="Times New Roman"/>
          <w:b w:val="0"/>
          <w:bCs w:val="0"/>
        </w:rPr>
        <w:fldChar w:fldCharType="separate"/>
      </w:r>
      <w:r>
        <w:rPr>
          <w:rFonts w:ascii="Times New Roman" w:cs="Times New Roman"/>
          <w:b w:val="0"/>
          <w:bCs w:val="0"/>
        </w:rPr>
        <w:t>3.1.1监测</w:t>
      </w:r>
      <w:r>
        <w:rPr>
          <w:rFonts w:ascii="Times New Roman"/>
          <w:b w:val="0"/>
          <w:bCs w:val="0"/>
        </w:rPr>
        <w:tab/>
      </w:r>
      <w:r>
        <w:rPr>
          <w:rFonts w:ascii="Times New Roman"/>
          <w:b w:val="0"/>
          <w:bCs w:val="0"/>
        </w:rPr>
        <w:fldChar w:fldCharType="begin"/>
      </w:r>
      <w:r>
        <w:rPr>
          <w:rFonts w:ascii="Times New Roman"/>
          <w:b w:val="0"/>
          <w:bCs w:val="0"/>
        </w:rPr>
        <w:instrText xml:space="preserve"> PAGEREF _Toc21137 \h </w:instrText>
      </w:r>
      <w:r>
        <w:rPr>
          <w:rFonts w:ascii="Times New Roman"/>
          <w:b w:val="0"/>
          <w:bCs w:val="0"/>
        </w:rPr>
        <w:fldChar w:fldCharType="separate"/>
      </w:r>
      <w:r>
        <w:rPr>
          <w:rFonts w:ascii="Times New Roman"/>
          <w:b w:val="0"/>
          <w:bCs w:val="0"/>
        </w:rPr>
        <w:t>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_Toc18025 </w:instrText>
      </w:r>
      <w:r>
        <w:rPr>
          <w:rFonts w:ascii="Times New Roman"/>
          <w:b w:val="0"/>
          <w:bCs w:val="0"/>
        </w:rPr>
        <w:fldChar w:fldCharType="separate"/>
      </w:r>
      <w:r>
        <w:rPr>
          <w:rFonts w:ascii="Times New Roman" w:cs="Times New Roman"/>
          <w:b w:val="0"/>
          <w:bCs w:val="0"/>
        </w:rPr>
        <w:t>3.1.2会商</w:t>
      </w:r>
      <w:r>
        <w:rPr>
          <w:rFonts w:ascii="Times New Roman"/>
          <w:b w:val="0"/>
          <w:bCs w:val="0"/>
        </w:rPr>
        <w:tab/>
      </w:r>
      <w:r>
        <w:rPr>
          <w:rFonts w:ascii="Times New Roman"/>
          <w:b w:val="0"/>
          <w:bCs w:val="0"/>
        </w:rPr>
        <w:fldChar w:fldCharType="begin"/>
      </w:r>
      <w:r>
        <w:rPr>
          <w:rFonts w:ascii="Times New Roman"/>
          <w:b w:val="0"/>
          <w:bCs w:val="0"/>
        </w:rPr>
        <w:instrText xml:space="preserve"> PAGEREF _Toc18025 \h </w:instrText>
      </w:r>
      <w:r>
        <w:rPr>
          <w:rFonts w:ascii="Times New Roman"/>
          <w:b w:val="0"/>
          <w:bCs w:val="0"/>
        </w:rPr>
        <w:fldChar w:fldCharType="separate"/>
      </w:r>
      <w:r>
        <w:rPr>
          <w:rFonts w:ascii="Times New Roman"/>
          <w:b w:val="0"/>
          <w:bCs w:val="0"/>
        </w:rPr>
        <w:t>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_Toc21660 </w:instrText>
      </w:r>
      <w:r>
        <w:rPr>
          <w:rFonts w:ascii="Times New Roman"/>
          <w:b w:val="0"/>
          <w:bCs w:val="0"/>
        </w:rPr>
        <w:fldChar w:fldCharType="separate"/>
      </w:r>
      <w:r>
        <w:rPr>
          <w:rFonts w:hint="eastAsia" w:ascii="Times New Roman"/>
          <w:b w:val="0"/>
          <w:bCs w:val="0"/>
        </w:rPr>
        <w:t>3.2 预警</w:t>
      </w:r>
      <w:r>
        <w:rPr>
          <w:rFonts w:ascii="Times New Roman"/>
          <w:b w:val="0"/>
          <w:bCs w:val="0"/>
        </w:rPr>
        <w:tab/>
      </w:r>
      <w:r>
        <w:rPr>
          <w:rFonts w:ascii="Times New Roman"/>
          <w:b w:val="0"/>
          <w:bCs w:val="0"/>
        </w:rPr>
        <w:fldChar w:fldCharType="begin"/>
      </w:r>
      <w:r>
        <w:rPr>
          <w:rFonts w:ascii="Times New Roman"/>
          <w:b w:val="0"/>
          <w:bCs w:val="0"/>
        </w:rPr>
        <w:instrText xml:space="preserve"> PAGEREF _Toc21660 \h </w:instrText>
      </w:r>
      <w:r>
        <w:rPr>
          <w:rFonts w:ascii="Times New Roman"/>
          <w:b w:val="0"/>
          <w:bCs w:val="0"/>
        </w:rPr>
        <w:fldChar w:fldCharType="separate"/>
      </w:r>
      <w:r>
        <w:rPr>
          <w:rFonts w:ascii="Times New Roman"/>
          <w:b w:val="0"/>
          <w:bCs w:val="0"/>
        </w:rPr>
        <w:t>9</w:t>
      </w:r>
      <w:r>
        <w:rPr>
          <w:rFonts w:ascii="Times New Roman"/>
          <w:b w:val="0"/>
          <w:bCs w:val="0"/>
        </w:rPr>
        <w:fldChar w:fldCharType="end"/>
      </w:r>
      <w:r>
        <w:rPr>
          <w:rFonts w:ascii="Times New Roman"/>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_Toc19070 </w:instrText>
      </w:r>
      <w:r>
        <w:rPr>
          <w:b w:val="0"/>
          <w:bCs w:val="0"/>
        </w:rPr>
        <w:fldChar w:fldCharType="separate"/>
      </w:r>
      <w:r>
        <w:rPr>
          <w:rFonts w:hint="eastAsia"/>
          <w:b w:val="0"/>
          <w:bCs w:val="0"/>
        </w:rPr>
        <w:t>3.2.1 预警分级</w:t>
      </w:r>
      <w:r>
        <w:rPr>
          <w:b w:val="0"/>
          <w:bCs w:val="0"/>
        </w:rPr>
        <w:tab/>
      </w:r>
      <w:r>
        <w:rPr>
          <w:b w:val="0"/>
          <w:bCs w:val="0"/>
        </w:rPr>
        <w:fldChar w:fldCharType="begin"/>
      </w:r>
      <w:r>
        <w:rPr>
          <w:b w:val="0"/>
          <w:bCs w:val="0"/>
        </w:rPr>
        <w:instrText xml:space="preserve"> PAGEREF _Toc19070 \h </w:instrText>
      </w:r>
      <w:r>
        <w:rPr>
          <w:b w:val="0"/>
          <w:bCs w:val="0"/>
        </w:rPr>
        <w:fldChar w:fldCharType="separate"/>
      </w:r>
      <w:r>
        <w:rPr>
          <w:b w:val="0"/>
          <w:bCs w:val="0"/>
        </w:rPr>
        <w:t>9</w:t>
      </w:r>
      <w:r>
        <w:rPr>
          <w:b w:val="0"/>
          <w:bCs w:val="0"/>
        </w:rPr>
        <w:fldChar w:fldCharType="end"/>
      </w:r>
      <w:r>
        <w:rPr>
          <w:b w:val="0"/>
          <w:bCs w:val="0"/>
        </w:rPr>
        <w:fldChar w:fldCharType="end"/>
      </w: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 HYPERLINK \l _Toc11857 </w:instrText>
      </w:r>
      <w:r>
        <w:rPr>
          <w:rFonts w:ascii="Times New Roman"/>
          <w:b w:val="0"/>
          <w:bCs w:val="0"/>
        </w:rPr>
        <w:fldChar w:fldCharType="separate"/>
      </w:r>
      <w:r>
        <w:rPr>
          <w:rFonts w:hint="eastAsia" w:ascii="Times New Roman"/>
          <w:b w:val="0"/>
          <w:bCs w:val="0"/>
        </w:rPr>
        <w:t>4 应急响应</w:t>
      </w:r>
      <w:r>
        <w:rPr>
          <w:rFonts w:ascii="Times New Roman"/>
          <w:b w:val="0"/>
          <w:bCs w:val="0"/>
        </w:rPr>
        <w:tab/>
      </w:r>
      <w:r>
        <w:rPr>
          <w:rFonts w:ascii="Times New Roman"/>
          <w:b w:val="0"/>
          <w:bCs w:val="0"/>
        </w:rPr>
        <w:fldChar w:fldCharType="begin"/>
      </w:r>
      <w:r>
        <w:rPr>
          <w:rFonts w:ascii="Times New Roman"/>
          <w:b w:val="0"/>
          <w:bCs w:val="0"/>
        </w:rPr>
        <w:instrText xml:space="preserve"> PAGEREF _Toc11857 \h </w:instrText>
      </w:r>
      <w:r>
        <w:rPr>
          <w:rFonts w:ascii="Times New Roman"/>
          <w:b w:val="0"/>
          <w:bCs w:val="0"/>
        </w:rPr>
        <w:fldChar w:fldCharType="separate"/>
      </w:r>
      <w:r>
        <w:rPr>
          <w:rFonts w:ascii="Times New Roman"/>
          <w:b w:val="0"/>
          <w:bCs w:val="0"/>
        </w:rPr>
        <w:t>12</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_Toc32158 </w:instrText>
      </w:r>
      <w:r>
        <w:rPr>
          <w:rFonts w:ascii="Times New Roman"/>
          <w:b w:val="0"/>
          <w:bCs w:val="0"/>
        </w:rPr>
        <w:fldChar w:fldCharType="separate"/>
      </w:r>
      <w:r>
        <w:rPr>
          <w:rFonts w:hint="eastAsia" w:ascii="Times New Roman" w:eastAsia="方正楷体_GBK"/>
          <w:b w:val="0"/>
          <w:bCs w:val="0"/>
        </w:rPr>
        <w:t>4.1 对应等级</w:t>
      </w:r>
      <w:r>
        <w:rPr>
          <w:rFonts w:ascii="Times New Roman"/>
          <w:b w:val="0"/>
          <w:bCs w:val="0"/>
        </w:rPr>
        <w:tab/>
      </w:r>
      <w:r>
        <w:rPr>
          <w:rFonts w:ascii="Times New Roman"/>
          <w:b w:val="0"/>
          <w:bCs w:val="0"/>
        </w:rPr>
        <w:fldChar w:fldCharType="begin"/>
      </w:r>
      <w:r>
        <w:rPr>
          <w:rFonts w:ascii="Times New Roman"/>
          <w:b w:val="0"/>
          <w:bCs w:val="0"/>
        </w:rPr>
        <w:instrText xml:space="preserve"> PAGEREF _Toc32158 \h </w:instrText>
      </w:r>
      <w:r>
        <w:rPr>
          <w:rFonts w:ascii="Times New Roman"/>
          <w:b w:val="0"/>
          <w:bCs w:val="0"/>
        </w:rPr>
        <w:fldChar w:fldCharType="separate"/>
      </w:r>
      <w:r>
        <w:rPr>
          <w:rFonts w:ascii="Times New Roman"/>
          <w:b w:val="0"/>
          <w:bCs w:val="0"/>
        </w:rPr>
        <w:t>12</w:t>
      </w:r>
      <w:r>
        <w:rPr>
          <w:rFonts w:ascii="Times New Roman"/>
          <w:b w:val="0"/>
          <w:bCs w:val="0"/>
        </w:rPr>
        <w:fldChar w:fldCharType="end"/>
      </w:r>
      <w:r>
        <w:rPr>
          <w:rFonts w:ascii="Times New Roman"/>
          <w:b w:val="0"/>
          <w:bCs w:val="0"/>
        </w:rPr>
        <w:fldChar w:fldCharType="end"/>
      </w:r>
    </w:p>
    <w:p>
      <w:pPr>
        <w:pStyle w:val="10"/>
        <w:tabs>
          <w:tab w:val="right" w:leader="dot" w:pos="8844"/>
        </w:tabs>
        <w:spacing w:before="0" w:beforeLines="0" w:afterLines="0"/>
        <w:ind w:left="0" w:leftChars="0"/>
        <w:rPr>
          <w:b w:val="0"/>
          <w:bCs w:val="0"/>
        </w:rPr>
      </w:pPr>
      <w:r>
        <w:rPr>
          <w:b w:val="0"/>
          <w:bCs w:val="0"/>
        </w:rPr>
        <w:fldChar w:fldCharType="begin"/>
      </w:r>
      <w:r>
        <w:rPr>
          <w:b w:val="0"/>
          <w:bCs w:val="0"/>
        </w:rPr>
        <w:instrText xml:space="preserve"> HYPERLINK \l _Toc32218 </w:instrText>
      </w:r>
      <w:r>
        <w:rPr>
          <w:b w:val="0"/>
          <w:bCs w:val="0"/>
        </w:rPr>
        <w:fldChar w:fldCharType="separate"/>
      </w:r>
      <w:r>
        <w:rPr>
          <w:rFonts w:hint="eastAsia"/>
          <w:b w:val="0"/>
          <w:bCs w:val="0"/>
        </w:rPr>
        <w:t xml:space="preserve">4.2 </w:t>
      </w:r>
      <w:r>
        <w:rPr>
          <w:rFonts w:hint="eastAsia" w:eastAsia="方正楷体_GBK" w:cs="方正楷体_GBK"/>
          <w:b w:val="0"/>
          <w:bCs w:val="0"/>
        </w:rPr>
        <w:t>响应措施</w:t>
      </w:r>
      <w:r>
        <w:rPr>
          <w:b w:val="0"/>
          <w:bCs w:val="0"/>
        </w:rPr>
        <w:tab/>
      </w:r>
      <w:r>
        <w:rPr>
          <w:b w:val="0"/>
          <w:bCs w:val="0"/>
        </w:rPr>
        <w:fldChar w:fldCharType="begin"/>
      </w:r>
      <w:r>
        <w:rPr>
          <w:b w:val="0"/>
          <w:bCs w:val="0"/>
        </w:rPr>
        <w:instrText xml:space="preserve"> PAGEREF _Toc32218 \h </w:instrText>
      </w:r>
      <w:r>
        <w:rPr>
          <w:b w:val="0"/>
          <w:bCs w:val="0"/>
        </w:rPr>
        <w:fldChar w:fldCharType="separate"/>
      </w:r>
      <w:r>
        <w:rPr>
          <w:b w:val="0"/>
          <w:bCs w:val="0"/>
        </w:rPr>
        <w:t>15</w:t>
      </w:r>
      <w:r>
        <w:rPr>
          <w:b w:val="0"/>
          <w:bCs w:val="0"/>
        </w:rPr>
        <w:fldChar w:fldCharType="end"/>
      </w:r>
      <w:r>
        <w:rPr>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_Toc22385 </w:instrText>
      </w:r>
      <w:r>
        <w:rPr>
          <w:rFonts w:ascii="Times New Roman"/>
          <w:b w:val="0"/>
          <w:bCs w:val="0"/>
        </w:rPr>
        <w:fldChar w:fldCharType="separate"/>
      </w:r>
      <w:r>
        <w:rPr>
          <w:rFonts w:hint="eastAsia" w:ascii="Times New Roman" w:eastAsia="方正黑体_GBK" w:cs="方正黑体_GBK"/>
          <w:b w:val="0"/>
          <w:bCs w:val="0"/>
        </w:rPr>
        <w:t>5 信息公开</w:t>
      </w:r>
      <w:r>
        <w:rPr>
          <w:rFonts w:ascii="Times New Roman"/>
          <w:b w:val="0"/>
          <w:bCs w:val="0"/>
        </w:rPr>
        <w:tab/>
      </w:r>
      <w:r>
        <w:rPr>
          <w:rFonts w:ascii="Times New Roman"/>
          <w:b w:val="0"/>
          <w:bCs w:val="0"/>
        </w:rPr>
        <w:fldChar w:fldCharType="begin"/>
      </w:r>
      <w:r>
        <w:rPr>
          <w:rFonts w:ascii="Times New Roman"/>
          <w:b w:val="0"/>
          <w:bCs w:val="0"/>
        </w:rPr>
        <w:instrText xml:space="preserve"> PAGEREF _Toc22385 \h </w:instrText>
      </w:r>
      <w:r>
        <w:rPr>
          <w:rFonts w:ascii="Times New Roman"/>
          <w:b w:val="0"/>
          <w:bCs w:val="0"/>
        </w:rPr>
        <w:fldChar w:fldCharType="separate"/>
      </w:r>
      <w:r>
        <w:rPr>
          <w:rFonts w:ascii="Times New Roman"/>
          <w:b w:val="0"/>
          <w:bCs w:val="0"/>
        </w:rPr>
        <w:t>19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_Toc3513 </w:instrText>
      </w:r>
      <w:r>
        <w:rPr>
          <w:rFonts w:ascii="Times New Roman"/>
          <w:b w:val="0"/>
          <w:bCs w:val="0"/>
        </w:rPr>
        <w:fldChar w:fldCharType="separate"/>
      </w:r>
      <w:r>
        <w:rPr>
          <w:rFonts w:hint="eastAsia" w:ascii="Times New Roman" w:eastAsia="方正楷体_GBK"/>
          <w:b w:val="0"/>
          <w:bCs w:val="0"/>
        </w:rPr>
        <w:t>5.1 应急响应报告和通报</w:t>
      </w:r>
      <w:r>
        <w:rPr>
          <w:rFonts w:ascii="Times New Roman"/>
          <w:b w:val="0"/>
          <w:bCs w:val="0"/>
        </w:rPr>
        <w:tab/>
      </w:r>
      <w:r>
        <w:rPr>
          <w:rFonts w:ascii="Times New Roman"/>
          <w:b w:val="0"/>
          <w:bCs w:val="0"/>
        </w:rPr>
        <w:fldChar w:fldCharType="begin"/>
      </w:r>
      <w:r>
        <w:rPr>
          <w:rFonts w:ascii="Times New Roman"/>
          <w:b w:val="0"/>
          <w:bCs w:val="0"/>
        </w:rPr>
        <w:instrText xml:space="preserve"> PAGEREF _Toc3513 \h </w:instrText>
      </w:r>
      <w:r>
        <w:rPr>
          <w:rFonts w:ascii="Times New Roman"/>
          <w:b w:val="0"/>
          <w:bCs w:val="0"/>
        </w:rPr>
        <w:fldChar w:fldCharType="separate"/>
      </w:r>
      <w:r>
        <w:rPr>
          <w:rFonts w:ascii="Times New Roman"/>
          <w:b w:val="0"/>
          <w:bCs w:val="0"/>
        </w:rPr>
        <w:t>19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hint="eastAsia" w:ascii="方正楷体_GBK" w:hAnsi="方正楷体_GBK" w:eastAsia="方正楷体_GBK" w:cs="方正楷体_GBK"/>
          <w:b w:val="0"/>
          <w:bCs w:val="0"/>
        </w:rPr>
      </w:pPr>
      <w:r>
        <w:rPr>
          <w:rFonts w:hint="eastAsia" w:ascii="方正楷体_GBK" w:hAnsi="方正楷体_GBK" w:eastAsia="方正楷体_GBK" w:cs="方正楷体_GBK"/>
          <w:b w:val="0"/>
          <w:bCs w:val="0"/>
        </w:rPr>
        <w:fldChar w:fldCharType="begin"/>
      </w:r>
      <w:r>
        <w:rPr>
          <w:rFonts w:hint="eastAsia" w:ascii="方正楷体_GBK" w:hAnsi="方正楷体_GBK" w:eastAsia="方正楷体_GBK" w:cs="方正楷体_GBK"/>
          <w:b w:val="0"/>
          <w:bCs w:val="0"/>
        </w:rPr>
        <w:instrText xml:space="preserve"> HYPERLINK \l _Toc12202 </w:instrText>
      </w:r>
      <w:r>
        <w:rPr>
          <w:rFonts w:hint="eastAsia" w:ascii="方正楷体_GBK" w:hAnsi="方正楷体_GBK" w:eastAsia="方正楷体_GBK" w:cs="方正楷体_GBK"/>
          <w:b w:val="0"/>
          <w:bCs w:val="0"/>
        </w:rPr>
        <w:fldChar w:fldCharType="separate"/>
      </w:r>
      <w:r>
        <w:rPr>
          <w:rFonts w:hint="eastAsia" w:ascii="方正楷体_GBK" w:hAnsi="方正楷体_GBK" w:eastAsia="方正楷体_GBK" w:cs="方正楷体_GBK"/>
          <w:b w:val="0"/>
          <w:bCs w:val="0"/>
        </w:rPr>
        <w:t>5.2 新闻发布</w:t>
      </w:r>
      <w:r>
        <w:rPr>
          <w:rFonts w:hint="eastAsia" w:ascii="方正楷体_GBK" w:hAnsi="方正楷体_GBK" w:eastAsia="方正楷体_GBK" w:cs="方正楷体_GBK"/>
          <w:b w:val="0"/>
          <w:bCs w:val="0"/>
        </w:rPr>
        <w:tab/>
      </w:r>
      <w:r>
        <w:rPr>
          <w:rFonts w:hint="eastAsia" w:ascii="方正楷体_GBK" w:hAnsi="方正楷体_GBK" w:eastAsia="方正楷体_GBK" w:cs="方正楷体_GBK"/>
          <w:b w:val="0"/>
          <w:bCs w:val="0"/>
        </w:rPr>
        <w:fldChar w:fldCharType="begin"/>
      </w:r>
      <w:r>
        <w:rPr>
          <w:rFonts w:hint="eastAsia" w:ascii="方正楷体_GBK" w:hAnsi="方正楷体_GBK" w:eastAsia="方正楷体_GBK" w:cs="方正楷体_GBK"/>
          <w:b w:val="0"/>
          <w:bCs w:val="0"/>
        </w:rPr>
        <w:instrText xml:space="preserve"> PAGEREF _Toc12202 \h </w:instrText>
      </w:r>
      <w:r>
        <w:rPr>
          <w:rFonts w:hint="eastAsia" w:ascii="方正楷体_GBK" w:hAnsi="方正楷体_GBK" w:eastAsia="方正楷体_GBK" w:cs="方正楷体_GBK"/>
          <w:b w:val="0"/>
          <w:bCs w:val="0"/>
        </w:rPr>
        <w:fldChar w:fldCharType="separate"/>
      </w:r>
      <w:r>
        <w:rPr>
          <w:rFonts w:hint="eastAsia" w:ascii="方正楷体_GBK" w:hAnsi="方正楷体_GBK" w:eastAsia="方正楷体_GBK" w:cs="方正楷体_GBK"/>
          <w:b w:val="0"/>
          <w:bCs w:val="0"/>
        </w:rPr>
        <w:t>19</w:t>
      </w:r>
      <w:r>
        <w:rPr>
          <w:rFonts w:hint="eastAsia" w:ascii="方正楷体_GBK" w:hAnsi="方正楷体_GBK" w:eastAsia="方正楷体_GBK" w:cs="方正楷体_GBK"/>
          <w:b w:val="0"/>
          <w:bCs w:val="0"/>
        </w:rPr>
        <w:fldChar w:fldCharType="end"/>
      </w:r>
      <w:r>
        <w:rPr>
          <w:rFonts w:hint="eastAsia" w:ascii="方正楷体_GBK" w:hAnsi="方正楷体_GBK" w:eastAsia="方正楷体_GBK" w:cs="方正楷体_GBK"/>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_Toc12165 </w:instrText>
      </w:r>
      <w:r>
        <w:rPr>
          <w:rFonts w:ascii="Times New Roman"/>
          <w:b w:val="0"/>
          <w:bCs w:val="0"/>
        </w:rPr>
        <w:fldChar w:fldCharType="separate"/>
      </w:r>
      <w:r>
        <w:rPr>
          <w:rFonts w:hint="eastAsia" w:ascii="Times New Roman" w:cs="方正黑体_GBK"/>
          <w:b w:val="0"/>
          <w:bCs w:val="0"/>
          <w:szCs w:val="32"/>
        </w:rPr>
        <w:t>6</w:t>
      </w:r>
      <w:r>
        <w:rPr>
          <w:rFonts w:hint="eastAsia" w:ascii="Times New Roman" w:eastAsia="方正黑体_GBK" w:cs="方正黑体_GBK"/>
          <w:b w:val="0"/>
          <w:bCs w:val="0"/>
          <w:szCs w:val="32"/>
        </w:rPr>
        <w:t xml:space="preserve"> 总结评估</w:t>
      </w:r>
      <w:r>
        <w:rPr>
          <w:rFonts w:ascii="Times New Roman"/>
          <w:b w:val="0"/>
          <w:bCs w:val="0"/>
        </w:rPr>
        <w:tab/>
      </w:r>
      <w:r>
        <w:rPr>
          <w:rFonts w:ascii="Times New Roman"/>
          <w:b w:val="0"/>
          <w:bCs w:val="0"/>
        </w:rPr>
        <w:fldChar w:fldCharType="begin"/>
      </w:r>
      <w:r>
        <w:rPr>
          <w:rFonts w:ascii="Times New Roman"/>
          <w:b w:val="0"/>
          <w:bCs w:val="0"/>
        </w:rPr>
        <w:instrText xml:space="preserve"> PAGEREF _Toc12165 \h </w:instrText>
      </w:r>
      <w:r>
        <w:rPr>
          <w:rFonts w:ascii="Times New Roman"/>
          <w:b w:val="0"/>
          <w:bCs w:val="0"/>
        </w:rPr>
        <w:fldChar w:fldCharType="separate"/>
      </w:r>
      <w:r>
        <w:rPr>
          <w:rFonts w:ascii="Times New Roman"/>
          <w:b w:val="0"/>
          <w:bCs w:val="0"/>
        </w:rPr>
        <w:t>19</w:t>
      </w:r>
      <w:r>
        <w:rPr>
          <w:rFonts w:ascii="Times New Roman"/>
          <w:b w:val="0"/>
          <w:bCs w:val="0"/>
        </w:rPr>
        <w:fldChar w:fldCharType="end"/>
      </w:r>
      <w:r>
        <w:rPr>
          <w:rFonts w:ascii="Times New Roman"/>
          <w:b w:val="0"/>
          <w:bCs w:val="0"/>
        </w:rPr>
        <w:fldChar w:fldCharType="end"/>
      </w: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 HYPERLINK \l _Toc2341 </w:instrText>
      </w:r>
      <w:r>
        <w:rPr>
          <w:rFonts w:ascii="Times New Roman"/>
          <w:b w:val="0"/>
          <w:bCs w:val="0"/>
        </w:rPr>
        <w:fldChar w:fldCharType="separate"/>
      </w:r>
      <w:r>
        <w:rPr>
          <w:rFonts w:hint="eastAsia" w:ascii="Times New Roman"/>
          <w:b w:val="0"/>
          <w:bCs w:val="0"/>
        </w:rPr>
        <w:t>7 应急保障</w:t>
      </w:r>
      <w:r>
        <w:rPr>
          <w:rFonts w:ascii="Times New Roman"/>
          <w:b w:val="0"/>
          <w:bCs w:val="0"/>
        </w:rPr>
        <w:tab/>
      </w:r>
      <w:r>
        <w:rPr>
          <w:rFonts w:ascii="Times New Roman"/>
          <w:b w:val="0"/>
          <w:bCs w:val="0"/>
        </w:rPr>
        <w:fldChar w:fldCharType="begin"/>
      </w:r>
      <w:r>
        <w:rPr>
          <w:rFonts w:ascii="Times New Roman"/>
          <w:b w:val="0"/>
          <w:bCs w:val="0"/>
        </w:rPr>
        <w:instrText xml:space="preserve"> PAGEREF _Toc2341 \h </w:instrText>
      </w:r>
      <w:r>
        <w:rPr>
          <w:rFonts w:ascii="Times New Roman"/>
          <w:b w:val="0"/>
          <w:bCs w:val="0"/>
        </w:rPr>
        <w:fldChar w:fldCharType="separate"/>
      </w:r>
      <w:r>
        <w:rPr>
          <w:rFonts w:ascii="Times New Roman"/>
          <w:b w:val="0"/>
          <w:bCs w:val="0"/>
        </w:rPr>
        <w:t>19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_Toc9815 </w:instrText>
      </w:r>
      <w:r>
        <w:rPr>
          <w:rFonts w:ascii="Times New Roman"/>
          <w:b w:val="0"/>
          <w:bCs w:val="0"/>
        </w:rPr>
        <w:fldChar w:fldCharType="separate"/>
      </w:r>
      <w:r>
        <w:rPr>
          <w:rFonts w:hint="eastAsia" w:ascii="Times New Roman" w:eastAsia="方正楷体_GBK"/>
          <w:b w:val="0"/>
          <w:bCs w:val="0"/>
        </w:rPr>
        <w:t>7.1 队伍保障</w:t>
      </w:r>
      <w:r>
        <w:rPr>
          <w:rFonts w:ascii="Times New Roman"/>
          <w:b w:val="0"/>
          <w:bCs w:val="0"/>
        </w:rPr>
        <w:tab/>
      </w:r>
      <w:r>
        <w:rPr>
          <w:rFonts w:ascii="Times New Roman"/>
          <w:b w:val="0"/>
          <w:bCs w:val="0"/>
        </w:rPr>
        <w:fldChar w:fldCharType="begin"/>
      </w:r>
      <w:r>
        <w:rPr>
          <w:rFonts w:ascii="Times New Roman"/>
          <w:b w:val="0"/>
          <w:bCs w:val="0"/>
        </w:rPr>
        <w:instrText xml:space="preserve"> PAGEREF _Toc9815 \h </w:instrText>
      </w:r>
      <w:r>
        <w:rPr>
          <w:rFonts w:ascii="Times New Roman"/>
          <w:b w:val="0"/>
          <w:bCs w:val="0"/>
        </w:rPr>
        <w:fldChar w:fldCharType="separate"/>
      </w:r>
      <w:r>
        <w:rPr>
          <w:rFonts w:ascii="Times New Roman"/>
          <w:b w:val="0"/>
          <w:bCs w:val="0"/>
        </w:rPr>
        <w:t>19</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_Toc4926 </w:instrText>
      </w:r>
      <w:r>
        <w:rPr>
          <w:rFonts w:ascii="Times New Roman"/>
          <w:b w:val="0"/>
          <w:bCs w:val="0"/>
        </w:rPr>
        <w:fldChar w:fldCharType="separate"/>
      </w:r>
      <w:r>
        <w:rPr>
          <w:rFonts w:hint="eastAsia" w:ascii="Times New Roman" w:eastAsia="方正楷体_GBK"/>
          <w:b w:val="0"/>
          <w:bCs w:val="0"/>
        </w:rPr>
        <w:t>7.2 物资保障</w:t>
      </w:r>
      <w:r>
        <w:rPr>
          <w:rFonts w:ascii="Times New Roman"/>
          <w:b w:val="0"/>
          <w:bCs w:val="0"/>
        </w:rPr>
        <w:tab/>
      </w:r>
      <w:r>
        <w:rPr>
          <w:rFonts w:ascii="Times New Roman"/>
          <w:b w:val="0"/>
          <w:bCs w:val="0"/>
        </w:rPr>
        <w:fldChar w:fldCharType="begin"/>
      </w:r>
      <w:r>
        <w:rPr>
          <w:rFonts w:ascii="Times New Roman"/>
          <w:b w:val="0"/>
          <w:bCs w:val="0"/>
        </w:rPr>
        <w:instrText xml:space="preserve"> PAGEREF _Toc4926 \h </w:instrText>
      </w:r>
      <w:r>
        <w:rPr>
          <w:rFonts w:ascii="Times New Roman"/>
          <w:b w:val="0"/>
          <w:bCs w:val="0"/>
        </w:rPr>
        <w:fldChar w:fldCharType="separate"/>
      </w:r>
      <w:r>
        <w:rPr>
          <w:rFonts w:ascii="Times New Roman"/>
          <w:b w:val="0"/>
          <w:bCs w:val="0"/>
        </w:rPr>
        <w:t>20</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_Toc30466 </w:instrText>
      </w:r>
      <w:r>
        <w:rPr>
          <w:rFonts w:ascii="Times New Roman"/>
          <w:b w:val="0"/>
          <w:bCs w:val="0"/>
        </w:rPr>
        <w:fldChar w:fldCharType="separate"/>
      </w:r>
      <w:r>
        <w:rPr>
          <w:rFonts w:hint="eastAsia" w:ascii="Times New Roman" w:eastAsia="方正楷体_GBK"/>
          <w:b w:val="0"/>
          <w:bCs w:val="0"/>
        </w:rPr>
        <w:t>7.3 经费保障</w:t>
      </w:r>
      <w:r>
        <w:rPr>
          <w:rFonts w:ascii="Times New Roman"/>
          <w:b w:val="0"/>
          <w:bCs w:val="0"/>
        </w:rPr>
        <w:tab/>
      </w:r>
      <w:r>
        <w:rPr>
          <w:rFonts w:ascii="Times New Roman"/>
          <w:b w:val="0"/>
          <w:bCs w:val="0"/>
        </w:rPr>
        <w:fldChar w:fldCharType="begin"/>
      </w:r>
      <w:r>
        <w:rPr>
          <w:rFonts w:ascii="Times New Roman"/>
          <w:b w:val="0"/>
          <w:bCs w:val="0"/>
        </w:rPr>
        <w:instrText xml:space="preserve"> PAGEREF _Toc30466 \h </w:instrText>
      </w:r>
      <w:r>
        <w:rPr>
          <w:rFonts w:ascii="Times New Roman"/>
          <w:b w:val="0"/>
          <w:bCs w:val="0"/>
        </w:rPr>
        <w:fldChar w:fldCharType="separate"/>
      </w:r>
      <w:r>
        <w:rPr>
          <w:rFonts w:ascii="Times New Roman"/>
          <w:b w:val="0"/>
          <w:bCs w:val="0"/>
        </w:rPr>
        <w:t>20</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_Toc9341 </w:instrText>
      </w:r>
      <w:r>
        <w:rPr>
          <w:rFonts w:ascii="Times New Roman"/>
          <w:b w:val="0"/>
          <w:bCs w:val="0"/>
        </w:rPr>
        <w:fldChar w:fldCharType="separate"/>
      </w:r>
      <w:r>
        <w:rPr>
          <w:rFonts w:hint="eastAsia" w:ascii="Times New Roman" w:eastAsia="方正楷体_GBK"/>
          <w:b w:val="0"/>
          <w:bCs w:val="0"/>
        </w:rPr>
        <w:t>7.4 信息联络保障</w:t>
      </w:r>
      <w:r>
        <w:rPr>
          <w:rFonts w:ascii="Times New Roman"/>
          <w:b w:val="0"/>
          <w:bCs w:val="0"/>
        </w:rPr>
        <w:tab/>
      </w:r>
      <w:r>
        <w:rPr>
          <w:rFonts w:ascii="Times New Roman"/>
          <w:b w:val="0"/>
          <w:bCs w:val="0"/>
        </w:rPr>
        <w:fldChar w:fldCharType="begin"/>
      </w:r>
      <w:r>
        <w:rPr>
          <w:rFonts w:ascii="Times New Roman"/>
          <w:b w:val="0"/>
          <w:bCs w:val="0"/>
        </w:rPr>
        <w:instrText xml:space="preserve"> PAGEREF _Toc9341 \h </w:instrText>
      </w:r>
      <w:r>
        <w:rPr>
          <w:rFonts w:ascii="Times New Roman"/>
          <w:b w:val="0"/>
          <w:bCs w:val="0"/>
        </w:rPr>
        <w:fldChar w:fldCharType="separate"/>
      </w:r>
      <w:r>
        <w:rPr>
          <w:rFonts w:ascii="Times New Roman"/>
          <w:b w:val="0"/>
          <w:bCs w:val="0"/>
        </w:rPr>
        <w:t>20</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_Toc18726 </w:instrText>
      </w:r>
      <w:r>
        <w:rPr>
          <w:rFonts w:ascii="Times New Roman"/>
          <w:b w:val="0"/>
          <w:bCs w:val="0"/>
        </w:rPr>
        <w:fldChar w:fldCharType="separate"/>
      </w:r>
      <w:r>
        <w:rPr>
          <w:rFonts w:hint="eastAsia" w:ascii="Times New Roman" w:eastAsia="方正楷体_GBK"/>
          <w:b w:val="0"/>
          <w:bCs w:val="0"/>
        </w:rPr>
        <w:t>7.5 其他保障</w:t>
      </w:r>
      <w:r>
        <w:rPr>
          <w:rFonts w:ascii="Times New Roman"/>
          <w:b w:val="0"/>
          <w:bCs w:val="0"/>
        </w:rPr>
        <w:tab/>
      </w:r>
      <w:r>
        <w:rPr>
          <w:rFonts w:ascii="Times New Roman"/>
          <w:b w:val="0"/>
          <w:bCs w:val="0"/>
        </w:rPr>
        <w:fldChar w:fldCharType="begin"/>
      </w:r>
      <w:r>
        <w:rPr>
          <w:rFonts w:ascii="Times New Roman"/>
          <w:b w:val="0"/>
          <w:bCs w:val="0"/>
        </w:rPr>
        <w:instrText xml:space="preserve"> PAGEREF _Toc18726 \h </w:instrText>
      </w:r>
      <w:r>
        <w:rPr>
          <w:rFonts w:ascii="Times New Roman"/>
          <w:b w:val="0"/>
          <w:bCs w:val="0"/>
        </w:rPr>
        <w:fldChar w:fldCharType="separate"/>
      </w:r>
      <w:r>
        <w:rPr>
          <w:rFonts w:ascii="Times New Roman"/>
          <w:b w:val="0"/>
          <w:bCs w:val="0"/>
        </w:rPr>
        <w:t>20</w:t>
      </w:r>
      <w:r>
        <w:rPr>
          <w:rFonts w:ascii="Times New Roman"/>
          <w:b w:val="0"/>
          <w:bCs w:val="0"/>
        </w:rPr>
        <w:fldChar w:fldCharType="end"/>
      </w:r>
      <w:r>
        <w:rPr>
          <w:rFonts w:ascii="Times New Roman"/>
          <w:b w:val="0"/>
          <w:bCs w:val="0"/>
        </w:rPr>
        <w:fldChar w:fldCharType="end"/>
      </w: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 HYPERLINK \l _Toc28044 </w:instrText>
      </w:r>
      <w:r>
        <w:rPr>
          <w:rFonts w:ascii="Times New Roman"/>
          <w:b w:val="0"/>
          <w:bCs w:val="0"/>
        </w:rPr>
        <w:fldChar w:fldCharType="separate"/>
      </w:r>
      <w:r>
        <w:rPr>
          <w:rFonts w:hint="eastAsia" w:ascii="Times New Roman"/>
          <w:b w:val="0"/>
          <w:bCs w:val="0"/>
        </w:rPr>
        <w:t>8 监督问责</w:t>
      </w:r>
      <w:r>
        <w:rPr>
          <w:rFonts w:ascii="Times New Roman"/>
          <w:b w:val="0"/>
          <w:bCs w:val="0"/>
        </w:rPr>
        <w:tab/>
      </w:r>
      <w:r>
        <w:rPr>
          <w:rFonts w:ascii="Times New Roman"/>
          <w:b w:val="0"/>
          <w:bCs w:val="0"/>
        </w:rPr>
        <w:fldChar w:fldCharType="begin"/>
      </w:r>
      <w:r>
        <w:rPr>
          <w:rFonts w:ascii="Times New Roman"/>
          <w:b w:val="0"/>
          <w:bCs w:val="0"/>
        </w:rPr>
        <w:instrText xml:space="preserve"> PAGEREF _Toc28044 \h </w:instrText>
      </w:r>
      <w:r>
        <w:rPr>
          <w:rFonts w:ascii="Times New Roman"/>
          <w:b w:val="0"/>
          <w:bCs w:val="0"/>
        </w:rPr>
        <w:fldChar w:fldCharType="separate"/>
      </w:r>
      <w:r>
        <w:rPr>
          <w:rFonts w:ascii="Times New Roman"/>
          <w:b w:val="0"/>
          <w:bCs w:val="0"/>
        </w:rPr>
        <w:t>21</w:t>
      </w:r>
      <w:r>
        <w:rPr>
          <w:rFonts w:ascii="Times New Roman"/>
          <w:b w:val="0"/>
          <w:bCs w:val="0"/>
        </w:rPr>
        <w:fldChar w:fldCharType="end"/>
      </w:r>
      <w:r>
        <w:rPr>
          <w:rFonts w:ascii="Times New Roman"/>
          <w:b w:val="0"/>
          <w:bCs w:val="0"/>
        </w:rPr>
        <w:fldChar w:fldCharType="end"/>
      </w:r>
    </w:p>
    <w:p>
      <w:pPr>
        <w:pStyle w:val="16"/>
        <w:tabs>
          <w:tab w:val="right" w:leader="dot" w:pos="8844"/>
          <w:tab w:val="clear" w:pos="8834"/>
        </w:tabs>
        <w:spacing w:before="0" w:beforeLines="0" w:afterLines="0" w:line="240" w:lineRule="auto"/>
        <w:jc w:val="both"/>
        <w:rPr>
          <w:rFonts w:ascii="Times New Roman"/>
          <w:b w:val="0"/>
          <w:bCs w:val="0"/>
        </w:rPr>
      </w:pPr>
      <w:r>
        <w:rPr>
          <w:rFonts w:ascii="Times New Roman"/>
          <w:b w:val="0"/>
          <w:bCs w:val="0"/>
        </w:rPr>
        <w:fldChar w:fldCharType="begin"/>
      </w:r>
      <w:r>
        <w:rPr>
          <w:rFonts w:ascii="Times New Roman"/>
          <w:b w:val="0"/>
          <w:bCs w:val="0"/>
        </w:rPr>
        <w:instrText xml:space="preserve"> HYPERLINK \l _Toc15403 </w:instrText>
      </w:r>
      <w:r>
        <w:rPr>
          <w:rFonts w:ascii="Times New Roman"/>
          <w:b w:val="0"/>
          <w:bCs w:val="0"/>
        </w:rPr>
        <w:fldChar w:fldCharType="separate"/>
      </w:r>
      <w:r>
        <w:rPr>
          <w:rFonts w:hint="eastAsia" w:ascii="Times New Roman"/>
          <w:b w:val="0"/>
          <w:bCs w:val="0"/>
        </w:rPr>
        <w:t>9 附则</w:t>
      </w:r>
      <w:r>
        <w:rPr>
          <w:rFonts w:ascii="Times New Roman"/>
          <w:b w:val="0"/>
          <w:bCs w:val="0"/>
        </w:rPr>
        <w:tab/>
      </w:r>
      <w:r>
        <w:rPr>
          <w:rFonts w:ascii="Times New Roman"/>
          <w:b w:val="0"/>
          <w:bCs w:val="0"/>
        </w:rPr>
        <w:fldChar w:fldCharType="begin"/>
      </w:r>
      <w:r>
        <w:rPr>
          <w:rFonts w:ascii="Times New Roman"/>
          <w:b w:val="0"/>
          <w:bCs w:val="0"/>
        </w:rPr>
        <w:instrText xml:space="preserve"> PAGEREF _Toc15403 \h </w:instrText>
      </w:r>
      <w:r>
        <w:rPr>
          <w:rFonts w:ascii="Times New Roman"/>
          <w:b w:val="0"/>
          <w:bCs w:val="0"/>
        </w:rPr>
        <w:fldChar w:fldCharType="separate"/>
      </w:r>
      <w:r>
        <w:rPr>
          <w:rFonts w:ascii="Times New Roman"/>
          <w:b w:val="0"/>
          <w:bCs w:val="0"/>
        </w:rPr>
        <w:t>22</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_Toc1038 </w:instrText>
      </w:r>
      <w:r>
        <w:rPr>
          <w:rFonts w:ascii="Times New Roman"/>
          <w:b w:val="0"/>
          <w:bCs w:val="0"/>
        </w:rPr>
        <w:fldChar w:fldCharType="separate"/>
      </w:r>
      <w:r>
        <w:rPr>
          <w:rFonts w:hint="eastAsia" w:ascii="Times New Roman" w:eastAsia="方正楷体_GBK"/>
          <w:b w:val="0"/>
          <w:bCs w:val="0"/>
        </w:rPr>
        <w:t>9.1 预案管理</w:t>
      </w:r>
      <w:r>
        <w:rPr>
          <w:rFonts w:ascii="Times New Roman"/>
          <w:b w:val="0"/>
          <w:bCs w:val="0"/>
        </w:rPr>
        <w:tab/>
      </w:r>
      <w:r>
        <w:rPr>
          <w:rFonts w:ascii="Times New Roman"/>
          <w:b w:val="0"/>
          <w:bCs w:val="0"/>
        </w:rPr>
        <w:fldChar w:fldCharType="begin"/>
      </w:r>
      <w:r>
        <w:rPr>
          <w:rFonts w:ascii="Times New Roman"/>
          <w:b w:val="0"/>
          <w:bCs w:val="0"/>
        </w:rPr>
        <w:instrText xml:space="preserve"> PAGEREF _Toc1038 \h </w:instrText>
      </w:r>
      <w:r>
        <w:rPr>
          <w:rFonts w:ascii="Times New Roman"/>
          <w:b w:val="0"/>
          <w:bCs w:val="0"/>
        </w:rPr>
        <w:fldChar w:fldCharType="separate"/>
      </w:r>
      <w:r>
        <w:rPr>
          <w:rFonts w:ascii="Times New Roman"/>
          <w:b w:val="0"/>
          <w:bCs w:val="0"/>
        </w:rPr>
        <w:t>22</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_Toc7060 </w:instrText>
      </w:r>
      <w:r>
        <w:rPr>
          <w:rFonts w:ascii="Times New Roman"/>
          <w:b w:val="0"/>
          <w:bCs w:val="0"/>
        </w:rPr>
        <w:fldChar w:fldCharType="separate"/>
      </w:r>
      <w:r>
        <w:rPr>
          <w:rFonts w:hint="eastAsia" w:ascii="Times New Roman" w:eastAsia="方正楷体_GBK"/>
          <w:b w:val="0"/>
          <w:bCs w:val="0"/>
        </w:rPr>
        <w:t>9.2 预案解释</w:t>
      </w:r>
      <w:r>
        <w:rPr>
          <w:rFonts w:ascii="Times New Roman"/>
          <w:b w:val="0"/>
          <w:bCs w:val="0"/>
        </w:rPr>
        <w:tab/>
      </w:r>
      <w:r>
        <w:rPr>
          <w:rFonts w:ascii="Times New Roman"/>
          <w:b w:val="0"/>
          <w:bCs w:val="0"/>
        </w:rPr>
        <w:fldChar w:fldCharType="begin"/>
      </w:r>
      <w:r>
        <w:rPr>
          <w:rFonts w:ascii="Times New Roman"/>
          <w:b w:val="0"/>
          <w:bCs w:val="0"/>
        </w:rPr>
        <w:instrText xml:space="preserve"> PAGEREF _Toc7060 \h </w:instrText>
      </w:r>
      <w:r>
        <w:rPr>
          <w:rFonts w:ascii="Times New Roman"/>
          <w:b w:val="0"/>
          <w:bCs w:val="0"/>
        </w:rPr>
        <w:fldChar w:fldCharType="separate"/>
      </w:r>
      <w:r>
        <w:rPr>
          <w:rFonts w:ascii="Times New Roman"/>
          <w:b w:val="0"/>
          <w:bCs w:val="0"/>
        </w:rPr>
        <w:t>22</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_Toc10272 </w:instrText>
      </w:r>
      <w:r>
        <w:rPr>
          <w:rFonts w:ascii="Times New Roman"/>
          <w:b w:val="0"/>
          <w:bCs w:val="0"/>
        </w:rPr>
        <w:fldChar w:fldCharType="separate"/>
      </w:r>
      <w:r>
        <w:rPr>
          <w:rFonts w:hint="eastAsia" w:ascii="Times New Roman" w:eastAsia="方正楷体_GBK"/>
          <w:b w:val="0"/>
          <w:bCs w:val="0"/>
        </w:rPr>
        <w:t>9.3 实施时间</w:t>
      </w:r>
      <w:r>
        <w:rPr>
          <w:rFonts w:ascii="Times New Roman"/>
          <w:b w:val="0"/>
          <w:bCs w:val="0"/>
        </w:rPr>
        <w:tab/>
      </w:r>
      <w:r>
        <w:rPr>
          <w:rFonts w:ascii="Times New Roman"/>
          <w:b w:val="0"/>
          <w:bCs w:val="0"/>
        </w:rPr>
        <w:fldChar w:fldCharType="begin"/>
      </w:r>
      <w:r>
        <w:rPr>
          <w:rFonts w:ascii="Times New Roman"/>
          <w:b w:val="0"/>
          <w:bCs w:val="0"/>
        </w:rPr>
        <w:instrText xml:space="preserve"> PAGEREF _Toc10272 \h </w:instrText>
      </w:r>
      <w:r>
        <w:rPr>
          <w:rFonts w:ascii="Times New Roman"/>
          <w:b w:val="0"/>
          <w:bCs w:val="0"/>
        </w:rPr>
        <w:fldChar w:fldCharType="separate"/>
      </w:r>
      <w:r>
        <w:rPr>
          <w:rFonts w:ascii="Times New Roman"/>
          <w:b w:val="0"/>
          <w:bCs w:val="0"/>
        </w:rPr>
        <w:t>22</w:t>
      </w:r>
      <w:r>
        <w:rPr>
          <w:rFonts w:ascii="Times New Roman"/>
          <w:b w:val="0"/>
          <w:bCs w:val="0"/>
        </w:rPr>
        <w:fldChar w:fldCharType="end"/>
      </w:r>
      <w:r>
        <w:rPr>
          <w:rFonts w:ascii="Times New Roman"/>
          <w:b w:val="0"/>
          <w:bCs w:val="0"/>
        </w:rPr>
        <w:fldChar w:fldCharType="end"/>
      </w:r>
    </w:p>
    <w:p>
      <w:pPr>
        <w:pStyle w:val="19"/>
        <w:tabs>
          <w:tab w:val="right" w:leader="dot" w:pos="8844"/>
          <w:tab w:val="clear" w:pos="8834"/>
        </w:tabs>
        <w:spacing w:before="0" w:beforeLines="0" w:afterLines="0" w:line="240" w:lineRule="auto"/>
        <w:rPr>
          <w:rFonts w:ascii="Times New Roman"/>
          <w:b w:val="0"/>
          <w:bCs w:val="0"/>
        </w:rPr>
      </w:pPr>
      <w:r>
        <w:rPr>
          <w:rFonts w:ascii="Times New Roman"/>
          <w:b w:val="0"/>
          <w:bCs w:val="0"/>
        </w:rPr>
        <w:fldChar w:fldCharType="begin"/>
      </w:r>
      <w:r>
        <w:rPr>
          <w:rFonts w:ascii="Times New Roman"/>
          <w:b w:val="0"/>
          <w:bCs w:val="0"/>
        </w:rPr>
        <w:instrText xml:space="preserve"> HYPERLINK \l _Toc26385 </w:instrText>
      </w:r>
      <w:r>
        <w:rPr>
          <w:rFonts w:ascii="Times New Roman"/>
          <w:b w:val="0"/>
          <w:bCs w:val="0"/>
        </w:rPr>
        <w:fldChar w:fldCharType="separate"/>
      </w:r>
      <w:r>
        <w:rPr>
          <w:rFonts w:hint="eastAsia" w:ascii="Times New Roman" w:eastAsia="方正楷体_GBK"/>
          <w:b w:val="0"/>
          <w:bCs w:val="0"/>
          <w:szCs w:val="32"/>
        </w:rPr>
        <w:t>9.4名词术语</w:t>
      </w:r>
      <w:r>
        <w:rPr>
          <w:rFonts w:ascii="Times New Roman"/>
          <w:b w:val="0"/>
          <w:bCs w:val="0"/>
        </w:rPr>
        <w:tab/>
      </w:r>
      <w:r>
        <w:rPr>
          <w:rFonts w:ascii="Times New Roman"/>
          <w:b w:val="0"/>
          <w:bCs w:val="0"/>
        </w:rPr>
        <w:fldChar w:fldCharType="begin"/>
      </w:r>
      <w:r>
        <w:rPr>
          <w:rFonts w:ascii="Times New Roman"/>
          <w:b w:val="0"/>
          <w:bCs w:val="0"/>
        </w:rPr>
        <w:instrText xml:space="preserve"> PAGEREF _Toc26385 \h </w:instrText>
      </w:r>
      <w:r>
        <w:rPr>
          <w:rFonts w:ascii="Times New Roman"/>
          <w:b w:val="0"/>
          <w:bCs w:val="0"/>
        </w:rPr>
        <w:fldChar w:fldCharType="separate"/>
      </w:r>
      <w:r>
        <w:rPr>
          <w:rFonts w:ascii="Times New Roman"/>
          <w:b w:val="0"/>
          <w:bCs w:val="0"/>
        </w:rPr>
        <w:t>22</w:t>
      </w:r>
      <w:r>
        <w:rPr>
          <w:rFonts w:ascii="Times New Roman"/>
          <w:b w:val="0"/>
          <w:bCs w:val="0"/>
        </w:rPr>
        <w:fldChar w:fldCharType="end"/>
      </w:r>
      <w:r>
        <w:rPr>
          <w:rFonts w:ascii="Times New Roman"/>
          <w:b w:val="0"/>
          <w:bCs w:val="0"/>
        </w:rPr>
        <w:fldChar w:fldCharType="end"/>
      </w:r>
    </w:p>
    <w:p>
      <w:pPr>
        <w:spacing w:before="0" w:beforeLines="0" w:afterLines="0"/>
        <w:rPr>
          <w:b w:val="0"/>
          <w:bCs w:val="0"/>
        </w:rPr>
      </w:pPr>
      <w:r>
        <w:rPr>
          <w:b w:val="0"/>
          <w:bCs w:val="0"/>
        </w:rPr>
        <w:fldChar w:fldCharType="end"/>
      </w:r>
    </w:p>
    <w:p>
      <w:pPr>
        <w:pStyle w:val="4"/>
        <w:keepNext w:val="0"/>
        <w:keepLines w:val="0"/>
        <w:spacing w:before="0" w:after="0" w:line="240" w:lineRule="auto"/>
        <w:ind w:left="0" w:right="0" w:firstLine="632" w:firstLineChars="200"/>
        <w:jc w:val="both"/>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1 总则</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1.1 编制目的</w:t>
      </w:r>
    </w:p>
    <w:p>
      <w:pPr>
        <w:tabs>
          <w:tab w:val="left" w:pos="1264"/>
        </w:tabs>
        <w:spacing w:before="0" w:beforeLines="0" w:afterLines="0"/>
        <w:ind w:firstLine="632" w:firstLineChars="200"/>
        <w:rPr>
          <w:rFonts w:hint="eastAsia"/>
          <w:b w:val="0"/>
          <w:bCs w:val="0"/>
          <w:szCs w:val="32"/>
        </w:rPr>
      </w:pPr>
      <w:r>
        <w:rPr>
          <w:rFonts w:hint="eastAsia"/>
          <w:b w:val="0"/>
          <w:bCs w:val="0"/>
          <w:szCs w:val="32"/>
        </w:rPr>
        <w:t>进一步规范我县空气重污染天气应对工作，健全重污染天气预警和应急机制，提高预测预警和应急处置能力，降低危害程度，确保重污染天气应急工作高效、有序进行，确保环境安全和公众身体健康。</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1.2 编制依据</w:t>
      </w:r>
    </w:p>
    <w:p>
      <w:pPr>
        <w:tabs>
          <w:tab w:val="left" w:pos="1264"/>
        </w:tabs>
        <w:spacing w:before="0" w:beforeLines="0" w:afterLines="0"/>
        <w:ind w:firstLine="632" w:firstLineChars="200"/>
        <w:rPr>
          <w:rFonts w:hint="eastAsia"/>
          <w:b w:val="0"/>
          <w:bCs w:val="0"/>
          <w:szCs w:val="32"/>
        </w:rPr>
      </w:pPr>
      <w:r>
        <w:rPr>
          <w:b w:val="0"/>
          <w:bCs w:val="0"/>
          <w:szCs w:val="32"/>
        </w:rPr>
        <w:t>依据《中华人民共和国大气污染防治法》《中共中央国务院关于深入打好污染防治攻坚战的意见》</w:t>
      </w:r>
      <w:r>
        <w:rPr>
          <w:rFonts w:hint="eastAsia"/>
          <w:b w:val="0"/>
          <w:bCs w:val="0"/>
          <w:szCs w:val="32"/>
        </w:rPr>
        <w:t>《</w:t>
      </w:r>
      <w:r>
        <w:rPr>
          <w:b w:val="0"/>
          <w:bCs w:val="0"/>
          <w:szCs w:val="32"/>
        </w:rPr>
        <w:t>关于做好</w:t>
      </w:r>
      <w:r>
        <w:rPr>
          <w:rFonts w:hint="eastAsia"/>
          <w:b w:val="0"/>
          <w:bCs w:val="0"/>
          <w:szCs w:val="32"/>
        </w:rPr>
        <w:t>“</w:t>
      </w:r>
      <w:r>
        <w:rPr>
          <w:b w:val="0"/>
          <w:bCs w:val="0"/>
          <w:szCs w:val="32"/>
        </w:rPr>
        <w:t>十四五</w:t>
      </w:r>
      <w:r>
        <w:rPr>
          <w:rFonts w:hint="eastAsia"/>
          <w:b w:val="0"/>
          <w:bCs w:val="0"/>
          <w:szCs w:val="32"/>
        </w:rPr>
        <w:t>”</w:t>
      </w:r>
      <w:r>
        <w:rPr>
          <w:b w:val="0"/>
          <w:bCs w:val="0"/>
          <w:szCs w:val="32"/>
        </w:rPr>
        <w:t>期间重</w:t>
      </w:r>
      <w:r>
        <w:rPr>
          <w:b w:val="0"/>
          <w:bCs w:val="0"/>
          <w:spacing w:val="-4"/>
          <w:szCs w:val="32"/>
        </w:rPr>
        <w:t>污染天气应对工作的指导意见</w:t>
      </w:r>
      <w:r>
        <w:rPr>
          <w:rFonts w:hint="eastAsia"/>
          <w:b w:val="0"/>
          <w:bCs w:val="0"/>
          <w:spacing w:val="-4"/>
          <w:szCs w:val="32"/>
        </w:rPr>
        <w:t>》</w:t>
      </w:r>
      <w:r>
        <w:rPr>
          <w:b w:val="0"/>
          <w:bCs w:val="0"/>
          <w:spacing w:val="-4"/>
          <w:szCs w:val="32"/>
        </w:rPr>
        <w:t>《</w:t>
      </w:r>
      <w:r>
        <w:rPr>
          <w:b w:val="0"/>
          <w:bCs w:val="0"/>
          <w:spacing w:val="-4"/>
          <w:kern w:val="0"/>
          <w:szCs w:val="32"/>
        </w:rPr>
        <w:t>生态环境部办公厅关于加强重污</w:t>
      </w:r>
      <w:r>
        <w:rPr>
          <w:b w:val="0"/>
          <w:bCs w:val="0"/>
          <w:spacing w:val="-6"/>
          <w:kern w:val="0"/>
          <w:szCs w:val="32"/>
        </w:rPr>
        <w:t>染天气应对夯实应急减排措施的指导意见》《生态环境部办公厅关于印发重污染天气重点行业应急减排措施制定技术指南（2020年修订版）的函》</w:t>
      </w:r>
      <w:r>
        <w:rPr>
          <w:rFonts w:hint="eastAsia"/>
          <w:b w:val="0"/>
          <w:bCs w:val="0"/>
          <w:spacing w:val="-6"/>
          <w:szCs w:val="32"/>
        </w:rPr>
        <w:t>《</w:t>
      </w:r>
      <w:r>
        <w:rPr>
          <w:rFonts w:hint="eastAsia"/>
          <w:b w:val="0"/>
          <w:bCs w:val="0"/>
          <w:szCs w:val="32"/>
        </w:rPr>
        <w:t>重庆市人民政府办公厅关于印发重庆市重污染天气应急预案（2022年修订版）的通知》</w:t>
      </w:r>
      <w:r>
        <w:rPr>
          <w:b w:val="0"/>
          <w:bCs w:val="0"/>
          <w:szCs w:val="32"/>
        </w:rPr>
        <w:t>《重庆市大气污染防治条例》</w:t>
      </w:r>
      <w:r>
        <w:rPr>
          <w:b w:val="0"/>
          <w:bCs w:val="0"/>
          <w:kern w:val="0"/>
          <w:szCs w:val="32"/>
        </w:rPr>
        <w:t>《重庆市突发事件总体应急预案》《重庆市重污染天气应急预案（2022年修订版）》《</w:t>
      </w:r>
      <w:r>
        <w:rPr>
          <w:rFonts w:hint="eastAsia"/>
          <w:b w:val="0"/>
          <w:bCs w:val="0"/>
          <w:kern w:val="0"/>
          <w:szCs w:val="32"/>
        </w:rPr>
        <w:t>巫溪</w:t>
      </w:r>
      <w:r>
        <w:rPr>
          <w:b w:val="0"/>
          <w:bCs w:val="0"/>
          <w:kern w:val="0"/>
          <w:szCs w:val="32"/>
        </w:rPr>
        <w:t>县突发事件总体应急预案》</w:t>
      </w:r>
      <w:r>
        <w:rPr>
          <w:rFonts w:hint="eastAsia"/>
          <w:b w:val="0"/>
          <w:bCs w:val="0"/>
          <w:szCs w:val="32"/>
        </w:rPr>
        <w:t>等法律法规有关规定，制定本预案。</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1.3 适用范围</w:t>
      </w:r>
    </w:p>
    <w:p>
      <w:pPr>
        <w:tabs>
          <w:tab w:val="left" w:pos="1264"/>
        </w:tabs>
        <w:spacing w:before="0" w:beforeLines="0" w:afterLines="0"/>
        <w:ind w:firstLine="632" w:firstLineChars="200"/>
        <w:rPr>
          <w:rFonts w:hint="eastAsia"/>
          <w:b w:val="0"/>
          <w:bCs w:val="0"/>
          <w:szCs w:val="32"/>
        </w:rPr>
      </w:pPr>
      <w:r>
        <w:rPr>
          <w:rFonts w:hint="eastAsia"/>
          <w:b w:val="0"/>
          <w:bCs w:val="0"/>
          <w:szCs w:val="32"/>
        </w:rPr>
        <w:t>根据《环境空气质量指数（AQI）技术规定（试行）》（HJ633—2012），本预案所指的重污染天气，是指 AQI 日均值大于200，或细颗粒物（PM2.5）日浓度大于115微克/立方米，或臭氧日最大8小时（O</w:t>
      </w:r>
      <w:r>
        <w:rPr>
          <w:rFonts w:hint="eastAsia"/>
          <w:b w:val="0"/>
          <w:bCs w:val="0"/>
          <w:szCs w:val="32"/>
          <w:vertAlign w:val="subscript"/>
        </w:rPr>
        <w:t>3—8h</w:t>
      </w:r>
      <w:r>
        <w:rPr>
          <w:rFonts w:hint="eastAsia"/>
          <w:b w:val="0"/>
          <w:bCs w:val="0"/>
          <w:szCs w:val="32"/>
        </w:rPr>
        <w:t>）浓度大于215微克/立方米的大气污染天气。</w:t>
      </w:r>
    </w:p>
    <w:p>
      <w:pPr>
        <w:tabs>
          <w:tab w:val="left" w:pos="1264"/>
        </w:tabs>
        <w:spacing w:before="0" w:beforeLines="0" w:afterLines="0"/>
        <w:ind w:firstLine="632" w:firstLineChars="200"/>
        <w:rPr>
          <w:rFonts w:hint="eastAsia"/>
          <w:b w:val="0"/>
          <w:bCs w:val="0"/>
          <w:szCs w:val="32"/>
        </w:rPr>
      </w:pPr>
      <w:r>
        <w:rPr>
          <w:rFonts w:hint="eastAsia"/>
          <w:b w:val="0"/>
          <w:bCs w:val="0"/>
          <w:szCs w:val="32"/>
        </w:rPr>
        <w:t>本预案适用于巫溪县行政区域内发生或即将发生空气重污染天气的应对处置工作。</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1.4 工作原则</w:t>
      </w:r>
    </w:p>
    <w:p>
      <w:pPr>
        <w:tabs>
          <w:tab w:val="left" w:pos="1264"/>
        </w:tabs>
        <w:spacing w:before="0" w:beforeLines="0" w:afterLines="0"/>
        <w:ind w:firstLine="632" w:firstLineChars="200"/>
        <w:rPr>
          <w:rFonts w:hint="eastAsia"/>
          <w:b w:val="0"/>
          <w:bCs w:val="0"/>
          <w:szCs w:val="32"/>
        </w:rPr>
      </w:pPr>
      <w:r>
        <w:rPr>
          <w:rFonts w:hint="eastAsia"/>
          <w:b w:val="0"/>
          <w:bCs w:val="0"/>
          <w:szCs w:val="32"/>
        </w:rPr>
        <w:t>以人为本，预防为主。以保障公众健康为首要目标，提前预警，强化重污染天气应急响应措施，最大程度降低重污染天气对公众健康的影响。</w:t>
      </w:r>
    </w:p>
    <w:p>
      <w:pPr>
        <w:tabs>
          <w:tab w:val="left" w:pos="1264"/>
        </w:tabs>
        <w:spacing w:before="0" w:beforeLines="0" w:afterLines="0"/>
        <w:ind w:firstLine="632" w:firstLineChars="200"/>
        <w:rPr>
          <w:rFonts w:hint="eastAsia"/>
          <w:b w:val="0"/>
          <w:bCs w:val="0"/>
          <w:szCs w:val="32"/>
        </w:rPr>
      </w:pPr>
      <w:r>
        <w:rPr>
          <w:rFonts w:hint="eastAsia"/>
          <w:b w:val="0"/>
          <w:bCs w:val="0"/>
          <w:szCs w:val="32"/>
        </w:rPr>
        <w:t>统一领导，属地管理。</w:t>
      </w:r>
      <w:r>
        <w:rPr>
          <w:b w:val="0"/>
          <w:bCs w:val="0"/>
          <w:kern w:val="0"/>
          <w:szCs w:val="32"/>
        </w:rPr>
        <w:t>重污染天气应对工作在县人民政府的统一领导下，建立全县统一的重污染天气应急指挥系统，明确各相关</w:t>
      </w:r>
      <w:r>
        <w:rPr>
          <w:rFonts w:hint="eastAsia"/>
          <w:b w:val="0"/>
          <w:bCs w:val="0"/>
          <w:kern w:val="0"/>
          <w:szCs w:val="32"/>
        </w:rPr>
        <w:t>单位</w:t>
      </w:r>
      <w:r>
        <w:rPr>
          <w:b w:val="0"/>
          <w:bCs w:val="0"/>
          <w:kern w:val="0"/>
          <w:szCs w:val="32"/>
        </w:rPr>
        <w:t>职责分工。各</w:t>
      </w:r>
      <w:r>
        <w:rPr>
          <w:rFonts w:hint="eastAsia"/>
          <w:b w:val="0"/>
          <w:bCs w:val="0"/>
          <w:kern w:val="0"/>
          <w:szCs w:val="32"/>
        </w:rPr>
        <w:t>乡镇人民政府、街道办事处</w:t>
      </w:r>
      <w:r>
        <w:rPr>
          <w:b w:val="0"/>
          <w:bCs w:val="0"/>
          <w:kern w:val="0"/>
          <w:szCs w:val="32"/>
        </w:rPr>
        <w:t>按照属地管理原则负责本区域内的重污染天气应对工作。</w:t>
      </w:r>
    </w:p>
    <w:p>
      <w:pPr>
        <w:tabs>
          <w:tab w:val="left" w:pos="1264"/>
        </w:tabs>
        <w:spacing w:before="0" w:beforeLines="0" w:afterLines="0"/>
        <w:ind w:firstLine="632" w:firstLineChars="200"/>
        <w:rPr>
          <w:rFonts w:hint="eastAsia"/>
          <w:b w:val="0"/>
          <w:bCs w:val="0"/>
          <w:szCs w:val="32"/>
        </w:rPr>
      </w:pPr>
      <w:r>
        <w:rPr>
          <w:rFonts w:hint="eastAsia"/>
          <w:b w:val="0"/>
          <w:bCs w:val="0"/>
          <w:szCs w:val="32"/>
        </w:rPr>
        <w:t>科学预警，分级管控。完善空气质量监测监控体系，加强分析研判，实行定期会商，科学预警。</w:t>
      </w:r>
      <w:r>
        <w:rPr>
          <w:b w:val="0"/>
          <w:bCs w:val="0"/>
          <w:kern w:val="0"/>
          <w:szCs w:val="32"/>
        </w:rPr>
        <w:t>根据不同预警等级，采取相应级别的应急响应措施，科学处置，有效降低污染影响程度。</w:t>
      </w:r>
    </w:p>
    <w:p>
      <w:pPr>
        <w:tabs>
          <w:tab w:val="left" w:pos="1264"/>
        </w:tabs>
        <w:spacing w:before="0" w:beforeLines="0" w:afterLines="0"/>
        <w:ind w:firstLine="632" w:firstLineChars="200"/>
        <w:rPr>
          <w:rFonts w:hint="eastAsia"/>
          <w:b w:val="0"/>
          <w:bCs w:val="0"/>
          <w:szCs w:val="32"/>
        </w:rPr>
      </w:pPr>
      <w:r>
        <w:rPr>
          <w:rFonts w:hint="eastAsia"/>
          <w:b w:val="0"/>
          <w:bCs w:val="0"/>
          <w:szCs w:val="32"/>
        </w:rPr>
        <w:t>部门联动，社会参与。各相关单位各司其职，强化协作，综合采用经济、法律以及必要的行政手段协同做好重污染天气应对处置工作，形成重污染天气应对合力。倡导公众绿色低碳生活，广泛动员社会各界积极参与重污染天气应对工作。</w:t>
      </w:r>
    </w:p>
    <w:p>
      <w:pPr>
        <w:pStyle w:val="4"/>
        <w:keepNext w:val="0"/>
        <w:keepLines w:val="0"/>
        <w:spacing w:before="0" w:after="0" w:line="240" w:lineRule="auto"/>
        <w:ind w:left="0" w:right="0" w:firstLine="632" w:firstLineChars="200"/>
        <w:jc w:val="both"/>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2 组织指挥机构</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2.1 县级层面组织指挥机构</w:t>
      </w:r>
    </w:p>
    <w:p>
      <w:pPr>
        <w:tabs>
          <w:tab w:val="left" w:pos="1264"/>
        </w:tabs>
        <w:spacing w:before="0" w:beforeLines="0" w:afterLines="0"/>
        <w:ind w:firstLine="632" w:firstLineChars="200"/>
        <w:rPr>
          <w:rFonts w:hint="eastAsia"/>
          <w:b w:val="0"/>
          <w:bCs w:val="0"/>
          <w:szCs w:val="32"/>
        </w:rPr>
      </w:pPr>
      <w:r>
        <w:rPr>
          <w:rFonts w:hint="eastAsia"/>
          <w:b w:val="0"/>
          <w:bCs w:val="0"/>
          <w:szCs w:val="32"/>
        </w:rPr>
        <w:t>根据工作需要，在重庆市空气重污染天气应急工作指挥部（以下简称市指挥部）和县人民政府统一领导下，成立巫溪县空气重污染天气应急工作指挥部（以下简称县指挥部）。县指挥部实行指挥长负责制，由县政府分管生态环境工作的领导担任指挥长，县政府办公室联系副主任、县生态环境局局长、县应急局局长任副指挥长。</w:t>
      </w:r>
    </w:p>
    <w:p>
      <w:pPr>
        <w:tabs>
          <w:tab w:val="left" w:pos="1264"/>
        </w:tabs>
        <w:spacing w:before="0" w:beforeLines="0" w:afterLines="0"/>
        <w:ind w:firstLine="632" w:firstLineChars="200"/>
        <w:rPr>
          <w:b w:val="0"/>
          <w:bCs w:val="0"/>
          <w:szCs w:val="32"/>
        </w:rPr>
      </w:pPr>
      <w:r>
        <w:rPr>
          <w:b w:val="0"/>
          <w:bCs w:val="0"/>
          <w:szCs w:val="32"/>
        </w:rPr>
        <w:t>县指挥部成员单位包括</w:t>
      </w:r>
      <w:r>
        <w:rPr>
          <w:rFonts w:hint="eastAsia"/>
          <w:b w:val="0"/>
          <w:bCs w:val="0"/>
          <w:szCs w:val="32"/>
        </w:rPr>
        <w:t>县政府办公室、</w:t>
      </w:r>
      <w:r>
        <w:rPr>
          <w:b w:val="0"/>
          <w:bCs w:val="0"/>
          <w:szCs w:val="32"/>
        </w:rPr>
        <w:t>县委宣传部、县发展改革委、</w:t>
      </w:r>
      <w:r>
        <w:rPr>
          <w:rFonts w:hint="eastAsia"/>
          <w:b w:val="0"/>
          <w:bCs w:val="0"/>
          <w:szCs w:val="32"/>
        </w:rPr>
        <w:t>县科技局、</w:t>
      </w:r>
      <w:r>
        <w:rPr>
          <w:b w:val="0"/>
          <w:bCs w:val="0"/>
          <w:szCs w:val="32"/>
        </w:rPr>
        <w:t>县教委、县经济信息委、县公安局、县财政局、县规划自然资源局、</w:t>
      </w:r>
      <w:r>
        <w:rPr>
          <w:rFonts w:hint="eastAsia"/>
          <w:b w:val="0"/>
          <w:bCs w:val="0"/>
          <w:szCs w:val="32"/>
        </w:rPr>
        <w:t>县生态环境局、</w:t>
      </w:r>
      <w:r>
        <w:rPr>
          <w:b w:val="0"/>
          <w:bCs w:val="0"/>
          <w:szCs w:val="32"/>
        </w:rPr>
        <w:t>县住房城乡建委</w:t>
      </w:r>
      <w:r>
        <w:rPr>
          <w:rFonts w:hint="eastAsia"/>
          <w:b w:val="0"/>
          <w:bCs w:val="0"/>
          <w:szCs w:val="32"/>
        </w:rPr>
        <w:t>、县城市管理</w:t>
      </w:r>
      <w:r>
        <w:rPr>
          <w:b w:val="0"/>
          <w:bCs w:val="0"/>
          <w:szCs w:val="32"/>
        </w:rPr>
        <w:t>局、县交通局、县农业农村委、县商务委、县卫生健康委、县应急局、县市场监管局、县气象局、县融媒体中心、各乡镇人民政府</w:t>
      </w:r>
      <w:r>
        <w:rPr>
          <w:rFonts w:hint="eastAsia"/>
          <w:b w:val="0"/>
          <w:bCs w:val="0"/>
          <w:szCs w:val="32"/>
        </w:rPr>
        <w:t>、</w:t>
      </w:r>
      <w:r>
        <w:rPr>
          <w:b w:val="0"/>
          <w:bCs w:val="0"/>
          <w:szCs w:val="32"/>
        </w:rPr>
        <w:t>街道办事处</w:t>
      </w:r>
      <w:r>
        <w:rPr>
          <w:rFonts w:hint="eastAsia"/>
          <w:b w:val="0"/>
          <w:bCs w:val="0"/>
          <w:szCs w:val="32"/>
        </w:rPr>
        <w:t>等</w:t>
      </w:r>
      <w:r>
        <w:rPr>
          <w:b w:val="0"/>
          <w:bCs w:val="0"/>
          <w:szCs w:val="32"/>
        </w:rPr>
        <w:t>。</w:t>
      </w:r>
    </w:p>
    <w:p>
      <w:pPr>
        <w:tabs>
          <w:tab w:val="left" w:pos="1264"/>
        </w:tabs>
        <w:spacing w:before="0" w:beforeLines="0" w:afterLines="0"/>
        <w:ind w:firstLine="632" w:firstLineChars="200"/>
        <w:rPr>
          <w:b w:val="0"/>
          <w:bCs w:val="0"/>
          <w:szCs w:val="32"/>
        </w:rPr>
      </w:pPr>
      <w:r>
        <w:rPr>
          <w:b w:val="0"/>
          <w:bCs w:val="0"/>
          <w:szCs w:val="32"/>
        </w:rPr>
        <w:t>县指挥部办公室设在县生态环境局，承担日常工作。县生态环境局主要负责人兼任办公室主任，县经济信息委、县公安局、县生态环境局、县住房城乡建委、</w:t>
      </w:r>
      <w:r>
        <w:rPr>
          <w:rFonts w:hint="eastAsia"/>
          <w:b w:val="0"/>
          <w:bCs w:val="0"/>
          <w:szCs w:val="32"/>
        </w:rPr>
        <w:t>城市管理</w:t>
      </w:r>
      <w:r>
        <w:rPr>
          <w:b w:val="0"/>
          <w:bCs w:val="0"/>
          <w:szCs w:val="32"/>
        </w:rPr>
        <w:t>局、县交通局分管负责人兼任办公室副主任。</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2.2 应急工作组职责分配</w:t>
      </w:r>
    </w:p>
    <w:p>
      <w:pPr>
        <w:tabs>
          <w:tab w:val="left" w:pos="1264"/>
        </w:tabs>
        <w:spacing w:before="0" w:beforeLines="0" w:afterLines="0"/>
        <w:ind w:firstLine="632" w:firstLineChars="200"/>
        <w:rPr>
          <w:rFonts w:hint="eastAsia"/>
          <w:b w:val="0"/>
          <w:bCs w:val="0"/>
          <w:szCs w:val="32"/>
        </w:rPr>
      </w:pPr>
      <w:r>
        <w:rPr>
          <w:rFonts w:hint="eastAsia"/>
          <w:b w:val="0"/>
          <w:bCs w:val="0"/>
          <w:szCs w:val="32"/>
        </w:rPr>
        <w:t>县指挥部下设综合协调组、工业应急组、城市扬尘应急组、机动车排气应急组和宣传引导组，组织开展应急响应工作。</w:t>
      </w:r>
    </w:p>
    <w:p>
      <w:pPr>
        <w:pStyle w:val="6"/>
        <w:keepNext w:val="0"/>
        <w:keepLines w:val="0"/>
        <w:spacing w:before="0" w:after="0" w:line="240" w:lineRule="auto"/>
        <w:ind w:firstLine="632" w:firstLineChars="200"/>
        <w:rPr>
          <w:rFonts w:hint="eastAsia"/>
          <w:b w:val="0"/>
          <w:bCs w:val="0"/>
        </w:rPr>
      </w:pPr>
      <w:r>
        <w:rPr>
          <w:rFonts w:hint="eastAsia"/>
          <w:b w:val="0"/>
          <w:bCs w:val="0"/>
        </w:rPr>
        <w:t>2.2.1 综合协调组</w:t>
      </w:r>
    </w:p>
    <w:p>
      <w:pPr>
        <w:tabs>
          <w:tab w:val="left" w:pos="1264"/>
        </w:tabs>
        <w:spacing w:before="0" w:beforeLines="0" w:afterLines="0"/>
        <w:ind w:firstLine="632" w:firstLineChars="200"/>
        <w:rPr>
          <w:rFonts w:hint="eastAsia"/>
          <w:b w:val="0"/>
          <w:bCs w:val="0"/>
          <w:szCs w:val="32"/>
        </w:rPr>
      </w:pPr>
      <w:r>
        <w:rPr>
          <w:rFonts w:hint="eastAsia"/>
          <w:b w:val="0"/>
          <w:bCs w:val="0"/>
          <w:szCs w:val="32"/>
        </w:rPr>
        <w:t>牵头单位：县生态环境局、县气象局</w:t>
      </w:r>
    </w:p>
    <w:p>
      <w:pPr>
        <w:tabs>
          <w:tab w:val="left" w:pos="1264"/>
        </w:tabs>
        <w:spacing w:before="0" w:beforeLines="0" w:afterLines="0"/>
        <w:ind w:firstLine="632" w:firstLineChars="200"/>
        <w:rPr>
          <w:rFonts w:hint="eastAsia"/>
          <w:b w:val="0"/>
          <w:bCs w:val="0"/>
          <w:szCs w:val="32"/>
        </w:rPr>
      </w:pPr>
      <w:r>
        <w:rPr>
          <w:rFonts w:hint="eastAsia"/>
          <w:b w:val="0"/>
          <w:bCs w:val="0"/>
          <w:szCs w:val="32"/>
        </w:rPr>
        <w:t>责任单位：县政府办公室、县委宣传部、县经济信息委、县财政局、县住房城乡建委、县卫生健康委、县城市管理局、县应急局、县市场监管局、相关乡镇（街道）、工业园区管委会</w:t>
      </w:r>
    </w:p>
    <w:p>
      <w:pPr>
        <w:tabs>
          <w:tab w:val="left" w:pos="1264"/>
        </w:tabs>
        <w:spacing w:before="0" w:beforeLines="0" w:afterLines="0"/>
        <w:ind w:firstLine="632" w:firstLineChars="200"/>
        <w:rPr>
          <w:rFonts w:hint="eastAsia"/>
          <w:b w:val="0"/>
          <w:bCs w:val="0"/>
          <w:szCs w:val="32"/>
        </w:rPr>
      </w:pPr>
      <w:r>
        <w:rPr>
          <w:rFonts w:hint="eastAsia"/>
          <w:b w:val="0"/>
          <w:bCs w:val="0"/>
          <w:szCs w:val="32"/>
        </w:rPr>
        <w:t>职责：负责空气质量和气象要素的监测综合分析，依托重庆市空气质量发布系统预测大气污染情况，提出空气重污染预警级别和响应区域的建议；收集研究汇总信息上报，传达上级有关指示；协调调配有关应急资源，提供稳定后勤保障；协调各工作组全力开展工作；开展应急措施调查、评估，按时上报空气重污染天气应急处置情况；对相关部门履职和行政效能的监督和检查等。</w:t>
      </w:r>
    </w:p>
    <w:p>
      <w:pPr>
        <w:pStyle w:val="6"/>
        <w:keepNext w:val="0"/>
        <w:keepLines w:val="0"/>
        <w:spacing w:before="0" w:after="0" w:line="240" w:lineRule="auto"/>
        <w:ind w:firstLine="632" w:firstLineChars="200"/>
        <w:rPr>
          <w:rFonts w:hint="eastAsia"/>
          <w:b w:val="0"/>
          <w:bCs w:val="0"/>
        </w:rPr>
      </w:pPr>
      <w:r>
        <w:rPr>
          <w:rFonts w:hint="eastAsia"/>
          <w:b w:val="0"/>
          <w:bCs w:val="0"/>
        </w:rPr>
        <w:t>2.2.2 工业应急组</w:t>
      </w:r>
    </w:p>
    <w:p>
      <w:pPr>
        <w:tabs>
          <w:tab w:val="left" w:pos="1264"/>
        </w:tabs>
        <w:spacing w:before="0" w:beforeLines="0" w:afterLines="0"/>
        <w:ind w:firstLine="632" w:firstLineChars="200"/>
        <w:rPr>
          <w:rFonts w:hint="eastAsia"/>
          <w:b w:val="0"/>
          <w:bCs w:val="0"/>
          <w:szCs w:val="32"/>
        </w:rPr>
      </w:pPr>
      <w:r>
        <w:rPr>
          <w:rFonts w:hint="eastAsia"/>
          <w:b w:val="0"/>
          <w:bCs w:val="0"/>
          <w:szCs w:val="32"/>
        </w:rPr>
        <w:t>牵头单位：县经济信息委、县生态环境局</w:t>
      </w:r>
    </w:p>
    <w:p>
      <w:pPr>
        <w:tabs>
          <w:tab w:val="left" w:pos="1264"/>
        </w:tabs>
        <w:spacing w:before="0" w:beforeLines="0" w:afterLines="0"/>
        <w:ind w:firstLine="632" w:firstLineChars="200"/>
        <w:rPr>
          <w:rFonts w:hint="eastAsia"/>
          <w:b w:val="0"/>
          <w:bCs w:val="0"/>
          <w:szCs w:val="32"/>
        </w:rPr>
      </w:pPr>
      <w:r>
        <w:rPr>
          <w:rFonts w:hint="eastAsia"/>
          <w:b w:val="0"/>
          <w:bCs w:val="0"/>
          <w:szCs w:val="32"/>
        </w:rPr>
        <w:t>责任单位：县城市管理局、县市场监管局、工业园区管委会、相关乡镇（街道）、县供电公司</w:t>
      </w:r>
    </w:p>
    <w:p>
      <w:pPr>
        <w:tabs>
          <w:tab w:val="left" w:pos="1264"/>
        </w:tabs>
        <w:spacing w:before="0" w:beforeLines="0" w:afterLines="0"/>
        <w:ind w:firstLine="632" w:firstLineChars="200"/>
        <w:rPr>
          <w:rFonts w:hint="eastAsia"/>
          <w:b w:val="0"/>
          <w:bCs w:val="0"/>
          <w:szCs w:val="32"/>
        </w:rPr>
      </w:pPr>
      <w:r>
        <w:rPr>
          <w:rFonts w:hint="eastAsia"/>
          <w:b w:val="0"/>
          <w:bCs w:val="0"/>
          <w:szCs w:val="32"/>
        </w:rPr>
        <w:t>职责：</w:t>
      </w:r>
      <w:r>
        <w:rPr>
          <w:b w:val="0"/>
          <w:bCs w:val="0"/>
          <w:szCs w:val="32"/>
        </w:rPr>
        <w:t>负责</w:t>
      </w:r>
      <w:r>
        <w:rPr>
          <w:rFonts w:hint="eastAsia"/>
          <w:b w:val="0"/>
          <w:bCs w:val="0"/>
          <w:szCs w:val="32"/>
        </w:rPr>
        <w:t>督导相关企业储备优质煤炭，开展限产减排等措施；</w:t>
      </w:r>
      <w:r>
        <w:rPr>
          <w:b w:val="0"/>
          <w:bCs w:val="0"/>
          <w:szCs w:val="32"/>
        </w:rPr>
        <w:t>检查</w:t>
      </w:r>
      <w:r>
        <w:rPr>
          <w:rFonts w:hint="eastAsia"/>
          <w:b w:val="0"/>
          <w:bCs w:val="0"/>
          <w:szCs w:val="32"/>
        </w:rPr>
        <w:t>高</w:t>
      </w:r>
      <w:r>
        <w:rPr>
          <w:b w:val="0"/>
          <w:bCs w:val="0"/>
          <w:szCs w:val="32"/>
        </w:rPr>
        <w:t>污染燃料禁燃区内各餐饮企业的燃料使用情况，</w:t>
      </w:r>
      <w:r>
        <w:rPr>
          <w:rFonts w:hint="eastAsia"/>
          <w:b w:val="0"/>
          <w:bCs w:val="0"/>
          <w:szCs w:val="32"/>
        </w:rPr>
        <w:t>指导检查混凝土搅拌站、沥青、石材加工、水泥制品（水泥砖）等企业执行情况，规范应急响应；根据预警等级督促重点企业落实应急管理措施，重点开展对企业生产排放台账、污染治理设施和在线监测设备运行、预警应急措施落实情况的检查；根据预警级别督促水泥制品、石材切割等企业采取相应的限产、停产减排措施，降低污染负荷；依法取缔高污染燃料禁燃区内的燃煤设施；对违规排污的企业依法进行处罚；必要时，对企业实行断电措施。</w:t>
      </w:r>
    </w:p>
    <w:p>
      <w:pPr>
        <w:pStyle w:val="6"/>
        <w:keepNext w:val="0"/>
        <w:keepLines w:val="0"/>
        <w:spacing w:before="0" w:after="0" w:line="240" w:lineRule="auto"/>
        <w:ind w:firstLine="632" w:firstLineChars="200"/>
        <w:rPr>
          <w:rFonts w:hint="eastAsia"/>
          <w:b w:val="0"/>
          <w:bCs w:val="0"/>
        </w:rPr>
      </w:pPr>
      <w:r>
        <w:rPr>
          <w:rFonts w:hint="eastAsia"/>
          <w:b w:val="0"/>
          <w:bCs w:val="0"/>
        </w:rPr>
        <w:t>2.2.3 城市扬尘应急组</w:t>
      </w:r>
    </w:p>
    <w:p>
      <w:pPr>
        <w:tabs>
          <w:tab w:val="left" w:pos="1264"/>
        </w:tabs>
        <w:spacing w:before="0" w:beforeLines="0" w:afterLines="0"/>
        <w:ind w:firstLine="632" w:firstLineChars="200"/>
        <w:rPr>
          <w:rFonts w:hint="eastAsia"/>
          <w:b w:val="0"/>
          <w:bCs w:val="0"/>
          <w:szCs w:val="32"/>
        </w:rPr>
      </w:pPr>
      <w:r>
        <w:rPr>
          <w:rFonts w:hint="eastAsia"/>
          <w:b w:val="0"/>
          <w:bCs w:val="0"/>
          <w:szCs w:val="32"/>
        </w:rPr>
        <w:t>牵头单位：县住房城乡建委、县城市管理局</w:t>
      </w:r>
    </w:p>
    <w:p>
      <w:pPr>
        <w:tabs>
          <w:tab w:val="left" w:pos="1264"/>
        </w:tabs>
        <w:spacing w:before="0" w:beforeLines="0" w:afterLines="0"/>
        <w:ind w:firstLine="632" w:firstLineChars="200"/>
        <w:rPr>
          <w:rFonts w:hint="eastAsia"/>
          <w:b w:val="0"/>
          <w:bCs w:val="0"/>
          <w:szCs w:val="32"/>
        </w:rPr>
      </w:pPr>
      <w:r>
        <w:rPr>
          <w:rFonts w:hint="eastAsia"/>
          <w:b w:val="0"/>
          <w:bCs w:val="0"/>
          <w:szCs w:val="32"/>
        </w:rPr>
        <w:t>责任单位：县公安局、县生态环境局、县交通局、县农业农村委、县市场监管局、县气象局、相关乡镇（街道）</w:t>
      </w:r>
    </w:p>
    <w:p>
      <w:pPr>
        <w:tabs>
          <w:tab w:val="left" w:pos="1264"/>
        </w:tabs>
        <w:spacing w:before="0" w:beforeLines="0" w:afterLines="0"/>
        <w:ind w:firstLine="632" w:firstLineChars="200"/>
        <w:rPr>
          <w:rFonts w:hint="eastAsia"/>
          <w:b w:val="0"/>
          <w:bCs w:val="0"/>
          <w:szCs w:val="32"/>
        </w:rPr>
      </w:pPr>
      <w:r>
        <w:rPr>
          <w:rFonts w:hint="eastAsia"/>
          <w:b w:val="0"/>
          <w:bCs w:val="0"/>
          <w:szCs w:val="32"/>
        </w:rPr>
        <w:t>职责：负责组织对施工扬尘、道路扬尘的检查与控制；督促各类施工工地停工，搅拌站、物料堆场和渣土消纳场暂停生产作业；加强对易撒漏物质密闭运输的检查力度；提高洒水清扫保洁力度；督促响应区域内尘源堆场落实覆盖、喷淋等措施；查处秸秆、生活垃圾、建筑垃圾等露天燃烧行为；加强餐饮业油烟排放监管。</w:t>
      </w:r>
    </w:p>
    <w:p>
      <w:pPr>
        <w:pStyle w:val="6"/>
        <w:keepNext w:val="0"/>
        <w:keepLines w:val="0"/>
        <w:spacing w:before="0" w:after="0" w:line="240" w:lineRule="auto"/>
        <w:ind w:firstLine="632" w:firstLineChars="200"/>
        <w:rPr>
          <w:rFonts w:hint="eastAsia"/>
          <w:b w:val="0"/>
          <w:bCs w:val="0"/>
        </w:rPr>
      </w:pPr>
      <w:r>
        <w:rPr>
          <w:rFonts w:hint="eastAsia"/>
          <w:b w:val="0"/>
          <w:bCs w:val="0"/>
        </w:rPr>
        <w:t>2.2.4 机动车排气应急组</w:t>
      </w:r>
    </w:p>
    <w:p>
      <w:pPr>
        <w:tabs>
          <w:tab w:val="left" w:pos="1264"/>
        </w:tabs>
        <w:spacing w:before="0" w:beforeLines="0" w:afterLines="0"/>
        <w:ind w:firstLine="632" w:firstLineChars="200"/>
        <w:rPr>
          <w:rFonts w:hint="eastAsia"/>
          <w:b w:val="0"/>
          <w:bCs w:val="0"/>
          <w:szCs w:val="32"/>
        </w:rPr>
      </w:pPr>
      <w:r>
        <w:rPr>
          <w:rFonts w:hint="eastAsia"/>
          <w:b w:val="0"/>
          <w:bCs w:val="0"/>
          <w:szCs w:val="32"/>
        </w:rPr>
        <w:t>牵头部门：县公安局、县生态环境局、县交通局</w:t>
      </w:r>
    </w:p>
    <w:p>
      <w:pPr>
        <w:tabs>
          <w:tab w:val="left" w:pos="1264"/>
        </w:tabs>
        <w:spacing w:before="0" w:beforeLines="0" w:afterLines="0"/>
        <w:ind w:firstLine="632" w:firstLineChars="200"/>
        <w:rPr>
          <w:b w:val="0"/>
          <w:bCs w:val="0"/>
          <w:szCs w:val="32"/>
        </w:rPr>
      </w:pPr>
      <w:r>
        <w:rPr>
          <w:rFonts w:hint="eastAsia"/>
          <w:b w:val="0"/>
          <w:bCs w:val="0"/>
          <w:szCs w:val="32"/>
        </w:rPr>
        <w:t>责任单位：县住房城乡建委、县城市管理局、县市场监管局、县商务委</w:t>
      </w:r>
    </w:p>
    <w:p>
      <w:pPr>
        <w:tabs>
          <w:tab w:val="left" w:pos="1264"/>
        </w:tabs>
        <w:spacing w:before="0" w:beforeLines="0" w:afterLines="0"/>
        <w:ind w:firstLine="632" w:firstLineChars="200"/>
        <w:rPr>
          <w:rFonts w:hint="eastAsia"/>
          <w:b w:val="0"/>
          <w:bCs w:val="0"/>
          <w:szCs w:val="32"/>
        </w:rPr>
      </w:pPr>
      <w:r>
        <w:rPr>
          <w:rFonts w:hint="eastAsia"/>
          <w:b w:val="0"/>
          <w:bCs w:val="0"/>
          <w:szCs w:val="32"/>
        </w:rPr>
        <w:t>职责：负责道路行驶车辆的执法检查；强化路检、抽检频次，查处高排放车辆和冒黑烟车辆进入禁行区行驶；落实高排放车辆应急限行措施；开展公共交通出行的倡议宣传；对机动车、非道路移动机械油品质量进行检查；强化交通指挥、保障道路畅通；优化扩大公交运力，保障市民公共交通出行。</w:t>
      </w:r>
    </w:p>
    <w:p>
      <w:pPr>
        <w:pStyle w:val="6"/>
        <w:keepNext w:val="0"/>
        <w:keepLines w:val="0"/>
        <w:spacing w:before="0" w:after="0" w:line="240" w:lineRule="auto"/>
        <w:ind w:firstLine="632" w:firstLineChars="200"/>
        <w:rPr>
          <w:rFonts w:hint="eastAsia"/>
          <w:b w:val="0"/>
          <w:bCs w:val="0"/>
        </w:rPr>
      </w:pPr>
      <w:r>
        <w:rPr>
          <w:rFonts w:hint="eastAsia"/>
          <w:b w:val="0"/>
          <w:bCs w:val="0"/>
        </w:rPr>
        <w:t>2.2.5 宣传引导组</w:t>
      </w:r>
    </w:p>
    <w:p>
      <w:pPr>
        <w:tabs>
          <w:tab w:val="left" w:pos="1264"/>
        </w:tabs>
        <w:spacing w:before="0" w:beforeLines="0" w:afterLines="0"/>
        <w:ind w:firstLine="632" w:firstLineChars="200"/>
        <w:rPr>
          <w:rFonts w:hint="eastAsia"/>
          <w:b w:val="0"/>
          <w:bCs w:val="0"/>
          <w:szCs w:val="32"/>
        </w:rPr>
      </w:pPr>
      <w:r>
        <w:rPr>
          <w:rFonts w:hint="eastAsia"/>
          <w:b w:val="0"/>
          <w:bCs w:val="0"/>
          <w:szCs w:val="32"/>
        </w:rPr>
        <w:t>牵头单位：县委宣传部、县生态环境局</w:t>
      </w:r>
    </w:p>
    <w:p>
      <w:pPr>
        <w:tabs>
          <w:tab w:val="left" w:pos="1264"/>
        </w:tabs>
        <w:spacing w:before="0" w:beforeLines="0" w:afterLines="0"/>
        <w:ind w:firstLine="632" w:firstLineChars="200"/>
        <w:rPr>
          <w:rFonts w:hint="eastAsia"/>
          <w:b w:val="0"/>
          <w:bCs w:val="0"/>
          <w:szCs w:val="32"/>
        </w:rPr>
      </w:pPr>
      <w:r>
        <w:rPr>
          <w:rFonts w:hint="eastAsia"/>
          <w:b w:val="0"/>
          <w:bCs w:val="0"/>
          <w:szCs w:val="32"/>
        </w:rPr>
        <w:t>责任单位：县融媒体中心（电视台）、中国移动巫溪分公司、中国联通巫溪分公司、中国电信巫溪分公司</w:t>
      </w:r>
    </w:p>
    <w:p>
      <w:pPr>
        <w:tabs>
          <w:tab w:val="left" w:pos="1264"/>
        </w:tabs>
        <w:spacing w:before="0" w:beforeLines="0" w:afterLines="0"/>
        <w:ind w:firstLine="632" w:firstLineChars="200"/>
        <w:rPr>
          <w:rFonts w:hint="eastAsia"/>
          <w:b w:val="0"/>
          <w:bCs w:val="0"/>
          <w:szCs w:val="32"/>
        </w:rPr>
      </w:pPr>
      <w:r>
        <w:rPr>
          <w:rFonts w:hint="eastAsia"/>
          <w:b w:val="0"/>
          <w:bCs w:val="0"/>
          <w:szCs w:val="32"/>
        </w:rPr>
        <w:t>职责：负责及时准确、正面客观发布权威信息；收集相关舆情；组织开展宣传报道；做好舆论引导，做好媒体记者接待。</w:t>
      </w:r>
    </w:p>
    <w:p>
      <w:pPr>
        <w:pStyle w:val="4"/>
        <w:keepNext w:val="0"/>
        <w:keepLines w:val="0"/>
        <w:spacing w:before="0" w:after="0" w:line="240" w:lineRule="auto"/>
        <w:ind w:left="0" w:right="0" w:firstLine="632" w:firstLineChars="200"/>
        <w:jc w:val="both"/>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rPr>
        <w:t>3 监测与预警</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3.1 监测</w:t>
      </w:r>
    </w:p>
    <w:p>
      <w:pPr>
        <w:pStyle w:val="5"/>
        <w:keepNext w:val="0"/>
        <w:keepLines w:val="0"/>
        <w:spacing w:before="0" w:after="0" w:line="240" w:lineRule="auto"/>
        <w:ind w:firstLine="632" w:firstLineChars="200"/>
        <w:rPr>
          <w:rFonts w:ascii="Times New Roman" w:hAnsi="Times New Roman" w:eastAsia="方正仿宋_GBK"/>
          <w:b w:val="0"/>
          <w:bCs w:val="0"/>
          <w:sz w:val="32"/>
        </w:rPr>
      </w:pPr>
      <w:r>
        <w:rPr>
          <w:rFonts w:ascii="Times New Roman" w:hAnsi="Times New Roman" w:eastAsia="方正仿宋_GBK"/>
          <w:b w:val="0"/>
          <w:bCs w:val="0"/>
          <w:sz w:val="32"/>
        </w:rPr>
        <w:t>3.1.1</w:t>
      </w:r>
      <w:r>
        <w:rPr>
          <w:rFonts w:hint="eastAsia" w:ascii="Times New Roman" w:hAnsi="Times New Roman" w:eastAsia="方正仿宋_GBK"/>
          <w:b w:val="0"/>
          <w:bCs w:val="0"/>
          <w:sz w:val="32"/>
        </w:rPr>
        <w:t xml:space="preserve"> </w:t>
      </w:r>
      <w:r>
        <w:rPr>
          <w:rFonts w:ascii="Times New Roman" w:hAnsi="Times New Roman" w:eastAsia="方正仿宋_GBK"/>
          <w:b w:val="0"/>
          <w:bCs w:val="0"/>
          <w:sz w:val="32"/>
        </w:rPr>
        <w:t>监测</w:t>
      </w:r>
    </w:p>
    <w:p>
      <w:pPr>
        <w:spacing w:before="0" w:beforeLines="0" w:afterLines="0"/>
        <w:ind w:firstLine="632" w:firstLineChars="200"/>
        <w:rPr>
          <w:b w:val="0"/>
          <w:bCs w:val="0"/>
          <w:kern w:val="0"/>
          <w:szCs w:val="32"/>
        </w:rPr>
      </w:pPr>
      <w:r>
        <w:rPr>
          <w:b w:val="0"/>
          <w:bCs w:val="0"/>
          <w:kern w:val="0"/>
          <w:szCs w:val="32"/>
        </w:rPr>
        <w:t>县生态环境局、县气象局加强信息资源共享，严格按照要求开展空气质量和气象条件日常监测，视情况增加</w:t>
      </w:r>
      <w:r>
        <w:rPr>
          <w:rFonts w:hint="eastAsia"/>
          <w:b w:val="0"/>
          <w:bCs w:val="0"/>
          <w:kern w:val="0"/>
          <w:szCs w:val="32"/>
        </w:rPr>
        <w:t>高空和</w:t>
      </w:r>
      <w:r>
        <w:rPr>
          <w:b w:val="0"/>
          <w:bCs w:val="0"/>
          <w:kern w:val="0"/>
          <w:szCs w:val="32"/>
        </w:rPr>
        <w:t>移动监测手段，开展重点区域</w:t>
      </w:r>
      <w:r>
        <w:rPr>
          <w:rFonts w:hint="eastAsia"/>
          <w:b w:val="0"/>
          <w:bCs w:val="0"/>
          <w:kern w:val="0"/>
          <w:szCs w:val="32"/>
        </w:rPr>
        <w:t>监控和</w:t>
      </w:r>
      <w:r>
        <w:rPr>
          <w:b w:val="0"/>
          <w:bCs w:val="0"/>
          <w:kern w:val="0"/>
          <w:szCs w:val="32"/>
        </w:rPr>
        <w:t>移动连续监测。做好数据收集处理、环境空气质量现状评价以及趋势预测工作。</w:t>
      </w:r>
    </w:p>
    <w:p>
      <w:pPr>
        <w:pStyle w:val="5"/>
        <w:keepNext w:val="0"/>
        <w:keepLines w:val="0"/>
        <w:spacing w:before="0" w:after="0" w:line="240" w:lineRule="auto"/>
        <w:ind w:firstLine="632" w:firstLineChars="200"/>
        <w:rPr>
          <w:rFonts w:ascii="Times New Roman" w:hAnsi="Times New Roman" w:eastAsia="方正仿宋_GBK"/>
          <w:b w:val="0"/>
          <w:bCs w:val="0"/>
          <w:sz w:val="32"/>
        </w:rPr>
      </w:pPr>
      <w:r>
        <w:rPr>
          <w:rFonts w:ascii="Times New Roman" w:hAnsi="Times New Roman" w:eastAsia="方正仿宋_GBK"/>
          <w:b w:val="0"/>
          <w:bCs w:val="0"/>
          <w:sz w:val="32"/>
        </w:rPr>
        <w:t>3.1.2</w:t>
      </w:r>
      <w:r>
        <w:rPr>
          <w:rFonts w:hint="eastAsia" w:ascii="Times New Roman" w:hAnsi="Times New Roman" w:eastAsia="方正仿宋_GBK"/>
          <w:b w:val="0"/>
          <w:bCs w:val="0"/>
          <w:sz w:val="32"/>
        </w:rPr>
        <w:t xml:space="preserve"> </w:t>
      </w:r>
      <w:r>
        <w:rPr>
          <w:rFonts w:ascii="Times New Roman" w:hAnsi="Times New Roman" w:eastAsia="方正仿宋_GBK"/>
          <w:b w:val="0"/>
          <w:bCs w:val="0"/>
          <w:sz w:val="32"/>
        </w:rPr>
        <w:t>会商</w:t>
      </w:r>
    </w:p>
    <w:p>
      <w:pPr>
        <w:spacing w:before="0" w:beforeLines="0" w:afterLines="0"/>
        <w:ind w:firstLine="632" w:firstLineChars="200"/>
        <w:rPr>
          <w:b w:val="0"/>
          <w:bCs w:val="0"/>
          <w:kern w:val="0"/>
          <w:szCs w:val="32"/>
        </w:rPr>
      </w:pPr>
      <w:r>
        <w:rPr>
          <w:b w:val="0"/>
          <w:bCs w:val="0"/>
          <w:kern w:val="0"/>
          <w:szCs w:val="32"/>
        </w:rPr>
        <w:t>完善重污染天气会商预警机制，充实气象气候、环境监测等方面的专业力量，及时开展科学研判、动态会商，不断提高预警科学性、精准性、时效性。发生区域性重污染天气时，加强与周边区县空气质量预测预报的信息共享、会商研判，及时启动区域应急联动。</w:t>
      </w:r>
    </w:p>
    <w:p>
      <w:pPr>
        <w:pStyle w:val="5"/>
        <w:keepNext w:val="0"/>
        <w:keepLines w:val="0"/>
        <w:spacing w:before="0" w:after="0" w:line="240" w:lineRule="auto"/>
        <w:ind w:firstLine="632" w:firstLineChars="200"/>
        <w:rPr>
          <w:rFonts w:hint="eastAsia" w:ascii="Times New Roman" w:hAnsi="Times New Roman"/>
          <w:b w:val="0"/>
          <w:bCs w:val="0"/>
          <w:sz w:val="32"/>
        </w:rPr>
      </w:pPr>
      <w:r>
        <w:rPr>
          <w:rFonts w:hint="eastAsia" w:ascii="Times New Roman" w:hAnsi="Times New Roman"/>
          <w:b w:val="0"/>
          <w:bCs w:val="0"/>
          <w:sz w:val="32"/>
        </w:rPr>
        <w:t>3.2 预警</w:t>
      </w:r>
    </w:p>
    <w:p>
      <w:pPr>
        <w:pStyle w:val="6"/>
        <w:keepNext w:val="0"/>
        <w:keepLines w:val="0"/>
        <w:spacing w:before="0" w:after="0" w:line="240" w:lineRule="auto"/>
        <w:ind w:firstLine="632" w:firstLineChars="200"/>
        <w:rPr>
          <w:rFonts w:hint="eastAsia"/>
          <w:b w:val="0"/>
          <w:bCs w:val="0"/>
        </w:rPr>
      </w:pPr>
      <w:r>
        <w:rPr>
          <w:rFonts w:hint="eastAsia"/>
          <w:b w:val="0"/>
          <w:bCs w:val="0"/>
        </w:rPr>
        <w:t>3.2.1 预警分级</w:t>
      </w:r>
    </w:p>
    <w:p>
      <w:pPr>
        <w:tabs>
          <w:tab w:val="left" w:pos="1264"/>
        </w:tabs>
        <w:spacing w:before="0" w:beforeLines="0" w:afterLines="0"/>
        <w:ind w:firstLine="632" w:firstLineChars="200"/>
        <w:rPr>
          <w:rFonts w:hint="eastAsia"/>
          <w:b w:val="0"/>
          <w:bCs w:val="0"/>
          <w:szCs w:val="32"/>
        </w:rPr>
      </w:pPr>
      <w:r>
        <w:rPr>
          <w:rFonts w:hint="eastAsia"/>
          <w:b w:val="0"/>
          <w:bCs w:val="0"/>
          <w:szCs w:val="32"/>
        </w:rPr>
        <w:t>按照重污染天气的发展趋势和可能造成影响的严重程度，将预警级别划分为三个等级，由低到高顺序依次为黄色预警、橙色预警、红色预警。</w:t>
      </w:r>
    </w:p>
    <w:p>
      <w:pPr>
        <w:tabs>
          <w:tab w:val="left" w:pos="1264"/>
        </w:tabs>
        <w:spacing w:before="0" w:beforeLines="0" w:afterLines="0"/>
        <w:ind w:firstLine="632" w:firstLineChars="200"/>
        <w:rPr>
          <w:rFonts w:hint="eastAsia"/>
          <w:b w:val="0"/>
          <w:bCs w:val="0"/>
          <w:szCs w:val="32"/>
        </w:rPr>
      </w:pPr>
      <w:r>
        <w:rPr>
          <w:rFonts w:hint="eastAsia"/>
          <w:b w:val="0"/>
          <w:bCs w:val="0"/>
          <w:kern w:val="0"/>
          <w:szCs w:val="32"/>
        </w:rPr>
        <w:t xml:space="preserve">3.2.1.1 </w:t>
      </w:r>
      <w:r>
        <w:rPr>
          <w:rFonts w:hint="eastAsia"/>
          <w:b w:val="0"/>
          <w:bCs w:val="0"/>
          <w:szCs w:val="32"/>
        </w:rPr>
        <w:t>黄色预警：预测 AQI 日均值＞200，或预测细颗粒物日浓度＞115微克/立方米持续2天（48小时）及以上，或预测臭氧日最大8小时浓度＞215微克/立方米持续2天及以上，且预测有短时重度污染，且未达到高级别预警条件。</w:t>
      </w:r>
    </w:p>
    <w:p>
      <w:pPr>
        <w:tabs>
          <w:tab w:val="left" w:pos="1264"/>
        </w:tabs>
        <w:spacing w:before="0" w:beforeLines="0" w:afterLines="0"/>
        <w:ind w:firstLine="632" w:firstLineChars="200"/>
        <w:rPr>
          <w:rFonts w:hint="eastAsia"/>
          <w:b w:val="0"/>
          <w:bCs w:val="0"/>
          <w:szCs w:val="32"/>
        </w:rPr>
      </w:pPr>
      <w:r>
        <w:rPr>
          <w:rFonts w:hint="eastAsia"/>
          <w:b w:val="0"/>
          <w:bCs w:val="0"/>
          <w:kern w:val="0"/>
          <w:szCs w:val="32"/>
        </w:rPr>
        <w:t xml:space="preserve">3.2.1.2 </w:t>
      </w:r>
      <w:r>
        <w:rPr>
          <w:rFonts w:hint="eastAsia"/>
          <w:b w:val="0"/>
          <w:bCs w:val="0"/>
          <w:szCs w:val="32"/>
        </w:rPr>
        <w:t>橙色预警：预测 AQI 日均值＞200持续3天（72小时）及以上，或预测细颗粒物日浓度＞115微克/立方米持续3天（72小时）及以上且细颗粒物日浓度＞150微克/立方米持续1天（24小时）及以上，或预测臭氧日最大8小时浓度＞215微克/立方米持续3天及以上且臭氧日最大8小时浓度＞265微克/立方米持续1天及以上，且未达到高级别预警条件。</w:t>
      </w:r>
    </w:p>
    <w:p>
      <w:pPr>
        <w:tabs>
          <w:tab w:val="left" w:pos="1264"/>
        </w:tabs>
        <w:spacing w:before="0" w:beforeLines="0" w:afterLines="0"/>
        <w:ind w:firstLine="632" w:firstLineChars="200"/>
        <w:rPr>
          <w:rFonts w:hint="eastAsia"/>
          <w:b w:val="0"/>
          <w:bCs w:val="0"/>
          <w:szCs w:val="32"/>
        </w:rPr>
      </w:pPr>
      <w:r>
        <w:rPr>
          <w:rFonts w:hint="eastAsia"/>
          <w:b w:val="0"/>
          <w:bCs w:val="0"/>
          <w:kern w:val="0"/>
          <w:szCs w:val="32"/>
        </w:rPr>
        <w:t xml:space="preserve">3.2.1.3 </w:t>
      </w:r>
      <w:r>
        <w:rPr>
          <w:rFonts w:hint="eastAsia"/>
          <w:b w:val="0"/>
          <w:bCs w:val="0"/>
          <w:szCs w:val="32"/>
        </w:rPr>
        <w:t>红色预警：预测 AQI 日均值＞200持续3天（72小时）及以上，且预测 AQI 日均值＞300持续1天（24小时）及以上；或预测 AQI 日均值达到500。</w:t>
      </w:r>
    </w:p>
    <w:p>
      <w:pPr>
        <w:spacing w:before="0" w:beforeLines="0" w:afterLines="0"/>
        <w:ind w:firstLine="640"/>
        <w:rPr>
          <w:b w:val="0"/>
          <w:bCs w:val="0"/>
          <w:kern w:val="0"/>
          <w:szCs w:val="32"/>
        </w:rPr>
      </w:pPr>
      <w:r>
        <w:rPr>
          <w:b w:val="0"/>
          <w:bCs w:val="0"/>
          <w:kern w:val="0"/>
          <w:szCs w:val="32"/>
        </w:rPr>
        <w:t>3.2.2 预警条件</w:t>
      </w:r>
    </w:p>
    <w:p>
      <w:pPr>
        <w:spacing w:before="0" w:beforeLines="0" w:afterLines="0"/>
        <w:ind w:firstLine="640"/>
        <w:rPr>
          <w:b w:val="0"/>
          <w:bCs w:val="0"/>
          <w:kern w:val="0"/>
          <w:szCs w:val="32"/>
        </w:rPr>
      </w:pPr>
      <w:r>
        <w:rPr>
          <w:b w:val="0"/>
          <w:bCs w:val="0"/>
          <w:kern w:val="0"/>
          <w:szCs w:val="32"/>
        </w:rPr>
        <w:t>重污染天气预警分别为市级区域预警和县级预警。</w:t>
      </w:r>
    </w:p>
    <w:p>
      <w:pPr>
        <w:spacing w:before="0" w:beforeLines="0" w:afterLines="0"/>
        <w:ind w:firstLine="640"/>
        <w:rPr>
          <w:b w:val="0"/>
          <w:bCs w:val="0"/>
          <w:kern w:val="0"/>
          <w:szCs w:val="32"/>
        </w:rPr>
      </w:pPr>
      <w:r>
        <w:rPr>
          <w:b w:val="0"/>
          <w:bCs w:val="0"/>
          <w:kern w:val="0"/>
          <w:szCs w:val="32"/>
        </w:rPr>
        <w:t>接到市指挥部办公室关于渝东北三峡库区城镇群的区域预警提示信息，启动不低于预警提示信息预警等级的县级预警，并报市指挥部办公室备案。</w:t>
      </w:r>
      <w:r>
        <w:rPr>
          <w:rFonts w:hint="eastAsia"/>
          <w:b w:val="0"/>
          <w:bCs w:val="0"/>
          <w:kern w:val="0"/>
          <w:szCs w:val="32"/>
        </w:rPr>
        <w:t>当启动橙色以上预警时，同时将预警信息抄送周边区县。</w:t>
      </w:r>
    </w:p>
    <w:p>
      <w:pPr>
        <w:spacing w:before="0" w:beforeLines="0" w:afterLines="0"/>
        <w:ind w:firstLine="640"/>
        <w:rPr>
          <w:rFonts w:hint="eastAsia"/>
          <w:b w:val="0"/>
          <w:bCs w:val="0"/>
        </w:rPr>
      </w:pPr>
      <w:r>
        <w:rPr>
          <w:b w:val="0"/>
          <w:bCs w:val="0"/>
          <w:kern w:val="0"/>
          <w:szCs w:val="32"/>
        </w:rPr>
        <w:t>根据自然地理、气象条件、污染特征等因素，县生态环境局、县气象局会商研判污染天气达到预警分级标准，启动相应等级的县级预警，并报市指挥部办公室备案。</w:t>
      </w:r>
    </w:p>
    <w:p>
      <w:pPr>
        <w:spacing w:before="0" w:beforeLines="0" w:afterLines="0"/>
        <w:ind w:firstLine="640"/>
        <w:rPr>
          <w:b w:val="0"/>
          <w:bCs w:val="0"/>
          <w:kern w:val="0"/>
          <w:szCs w:val="32"/>
        </w:rPr>
      </w:pPr>
      <w:r>
        <w:rPr>
          <w:b w:val="0"/>
          <w:bCs w:val="0"/>
          <w:kern w:val="0"/>
          <w:szCs w:val="32"/>
        </w:rPr>
        <w:t>3.2.3 预警信息发布</w:t>
      </w:r>
    </w:p>
    <w:p>
      <w:pPr>
        <w:spacing w:before="0" w:beforeLines="0" w:afterLines="0"/>
        <w:ind w:firstLine="640"/>
        <w:rPr>
          <w:b w:val="0"/>
          <w:bCs w:val="0"/>
          <w:szCs w:val="32"/>
        </w:rPr>
      </w:pPr>
      <w:r>
        <w:rPr>
          <w:b w:val="0"/>
          <w:bCs w:val="0"/>
          <w:kern w:val="0"/>
          <w:szCs w:val="32"/>
        </w:rPr>
        <w:t>重污染天气预警信息应提前24小时以上发布，若遇特殊气象条件未能提前发布，判断满足预警条件可立即发布预警启动信息。</w:t>
      </w:r>
    </w:p>
    <w:p>
      <w:pPr>
        <w:tabs>
          <w:tab w:val="left" w:pos="1264"/>
        </w:tabs>
        <w:spacing w:before="0" w:beforeLines="0" w:afterLines="0"/>
        <w:ind w:firstLine="632" w:firstLineChars="200"/>
        <w:rPr>
          <w:b w:val="0"/>
          <w:bCs w:val="0"/>
          <w:szCs w:val="32"/>
        </w:rPr>
      </w:pPr>
      <w:r>
        <w:rPr>
          <w:rFonts w:hint="eastAsia"/>
          <w:b w:val="0"/>
          <w:bCs w:val="0"/>
          <w:szCs w:val="32"/>
        </w:rPr>
        <w:t xml:space="preserve">3.2.3.1 </w:t>
      </w:r>
      <w:r>
        <w:rPr>
          <w:b w:val="0"/>
          <w:bCs w:val="0"/>
          <w:szCs w:val="32"/>
        </w:rPr>
        <w:t>发布权限</w:t>
      </w:r>
    </w:p>
    <w:p>
      <w:pPr>
        <w:spacing w:before="0" w:beforeLines="0" w:afterLines="0"/>
        <w:ind w:firstLine="640"/>
        <w:rPr>
          <w:rFonts w:hint="eastAsia"/>
          <w:b w:val="0"/>
          <w:bCs w:val="0"/>
        </w:rPr>
      </w:pPr>
      <w:r>
        <w:rPr>
          <w:b w:val="0"/>
          <w:bCs w:val="0"/>
          <w:szCs w:val="32"/>
        </w:rPr>
        <w:t>黄色预警信息由县指挥部办公室主任审批，由县指挥部办公室对外发布，</w:t>
      </w:r>
      <w:r>
        <w:rPr>
          <w:b w:val="0"/>
          <w:bCs w:val="0"/>
          <w:kern w:val="0"/>
          <w:szCs w:val="32"/>
        </w:rPr>
        <w:t>并报市指挥部办公室备案。</w:t>
      </w:r>
    </w:p>
    <w:p>
      <w:pPr>
        <w:tabs>
          <w:tab w:val="left" w:pos="1264"/>
        </w:tabs>
        <w:spacing w:before="0" w:beforeLines="0" w:afterLines="0"/>
        <w:ind w:firstLine="640"/>
        <w:rPr>
          <w:b w:val="0"/>
          <w:bCs w:val="0"/>
          <w:szCs w:val="32"/>
        </w:rPr>
      </w:pPr>
      <w:r>
        <w:rPr>
          <w:b w:val="0"/>
          <w:bCs w:val="0"/>
          <w:szCs w:val="32"/>
        </w:rPr>
        <w:t>橙色、红色预警信息由县指挥部办公室提出预警建议，由县</w:t>
      </w:r>
      <w:r>
        <w:rPr>
          <w:rFonts w:hint="eastAsia"/>
          <w:b w:val="0"/>
          <w:bCs w:val="0"/>
          <w:szCs w:val="32"/>
        </w:rPr>
        <w:t>指挥部</w:t>
      </w:r>
      <w:r>
        <w:rPr>
          <w:b w:val="0"/>
          <w:bCs w:val="0"/>
          <w:szCs w:val="32"/>
        </w:rPr>
        <w:t>或县</w:t>
      </w:r>
      <w:r>
        <w:rPr>
          <w:rFonts w:hint="eastAsia"/>
          <w:b w:val="0"/>
          <w:bCs w:val="0"/>
          <w:szCs w:val="32"/>
        </w:rPr>
        <w:t>指挥部</w:t>
      </w:r>
      <w:r>
        <w:rPr>
          <w:b w:val="0"/>
          <w:bCs w:val="0"/>
          <w:szCs w:val="32"/>
        </w:rPr>
        <w:t>授权县指挥部办公室对外发布</w:t>
      </w:r>
      <w:r>
        <w:rPr>
          <w:rFonts w:hint="eastAsia"/>
          <w:b w:val="0"/>
          <w:bCs w:val="0"/>
          <w:szCs w:val="32"/>
        </w:rPr>
        <w:t>，</w:t>
      </w:r>
      <w:r>
        <w:rPr>
          <w:b w:val="0"/>
          <w:bCs w:val="0"/>
          <w:kern w:val="0"/>
          <w:szCs w:val="32"/>
        </w:rPr>
        <w:t>并报市指挥部办公室备案。</w:t>
      </w:r>
    </w:p>
    <w:p>
      <w:pPr>
        <w:tabs>
          <w:tab w:val="left" w:pos="1264"/>
        </w:tabs>
        <w:spacing w:before="0" w:beforeLines="0" w:afterLines="0"/>
        <w:ind w:firstLine="632" w:firstLineChars="200"/>
        <w:rPr>
          <w:b w:val="0"/>
          <w:bCs w:val="0"/>
          <w:szCs w:val="32"/>
        </w:rPr>
      </w:pPr>
      <w:r>
        <w:rPr>
          <w:rFonts w:hint="eastAsia"/>
          <w:b w:val="0"/>
          <w:bCs w:val="0"/>
          <w:szCs w:val="32"/>
        </w:rPr>
        <w:t xml:space="preserve">3.2.3.2 </w:t>
      </w:r>
      <w:r>
        <w:rPr>
          <w:b w:val="0"/>
          <w:bCs w:val="0"/>
          <w:szCs w:val="32"/>
        </w:rPr>
        <w:t>预警内容。预警信息内容应当</w:t>
      </w:r>
      <w:r>
        <w:rPr>
          <w:rFonts w:hint="eastAsia"/>
          <w:b w:val="0"/>
          <w:bCs w:val="0"/>
          <w:szCs w:val="32"/>
        </w:rPr>
        <w:t>准确</w:t>
      </w:r>
      <w:r>
        <w:rPr>
          <w:b w:val="0"/>
          <w:bCs w:val="0"/>
          <w:szCs w:val="32"/>
        </w:rPr>
        <w:t>具体，包括发布单位、发布时间和重污染天气出现的时间、范围、污染程度、主要污染物、预警级别、潜在的危险程度、可能受影响的区域及需采取的措施建议等。</w:t>
      </w:r>
    </w:p>
    <w:p>
      <w:pPr>
        <w:spacing w:before="0" w:beforeLines="0" w:afterLines="0"/>
        <w:ind w:firstLine="640"/>
        <w:rPr>
          <w:b w:val="0"/>
          <w:bCs w:val="0"/>
          <w:kern w:val="0"/>
          <w:szCs w:val="32"/>
        </w:rPr>
      </w:pPr>
      <w:r>
        <w:rPr>
          <w:rFonts w:hint="eastAsia"/>
          <w:b w:val="0"/>
          <w:bCs w:val="0"/>
          <w:szCs w:val="32"/>
        </w:rPr>
        <w:t xml:space="preserve">3.2.3.3 </w:t>
      </w:r>
      <w:r>
        <w:rPr>
          <w:b w:val="0"/>
          <w:bCs w:val="0"/>
          <w:kern w:val="0"/>
          <w:szCs w:val="32"/>
        </w:rPr>
        <w:t>发布途径。通过报刊、广播、电视、网络、微博、微信、商圈大屏幕等向受影响区域公众发布信息，告知公众空气质量状况和变化趋势，引导公众主动采取自我防护措施。</w:t>
      </w:r>
    </w:p>
    <w:p>
      <w:pPr>
        <w:spacing w:before="0" w:beforeLines="0" w:afterLines="0"/>
        <w:ind w:firstLine="640"/>
        <w:rPr>
          <w:b w:val="0"/>
          <w:bCs w:val="0"/>
          <w:kern w:val="0"/>
          <w:szCs w:val="32"/>
        </w:rPr>
      </w:pPr>
      <w:r>
        <w:rPr>
          <w:rFonts w:hint="eastAsia"/>
          <w:b w:val="0"/>
          <w:bCs w:val="0"/>
          <w:szCs w:val="32"/>
        </w:rPr>
        <w:t xml:space="preserve">3.2.3.4 </w:t>
      </w:r>
      <w:r>
        <w:rPr>
          <w:b w:val="0"/>
          <w:bCs w:val="0"/>
          <w:kern w:val="0"/>
          <w:szCs w:val="32"/>
        </w:rPr>
        <w:t>应急值守。达到重污染天气预警启动条件时，监测值班人员要24小时在岗，加强监控，对重污染天气可能发生的时间、范围、污染程度、主要污染物、可能受影响的区域等情况每4小时进行更新并做出预测预报。</w:t>
      </w:r>
    </w:p>
    <w:p>
      <w:pPr>
        <w:spacing w:before="0" w:beforeLines="0" w:afterLines="0"/>
        <w:ind w:firstLine="640"/>
        <w:rPr>
          <w:b w:val="0"/>
          <w:bCs w:val="0"/>
          <w:kern w:val="0"/>
          <w:szCs w:val="32"/>
        </w:rPr>
      </w:pPr>
      <w:r>
        <w:rPr>
          <w:b w:val="0"/>
          <w:bCs w:val="0"/>
          <w:kern w:val="0"/>
          <w:szCs w:val="32"/>
        </w:rPr>
        <w:t>3.2.4</w:t>
      </w:r>
      <w:r>
        <w:rPr>
          <w:rFonts w:hint="eastAsia"/>
          <w:b w:val="0"/>
          <w:bCs w:val="0"/>
          <w:kern w:val="0"/>
          <w:szCs w:val="32"/>
        </w:rPr>
        <w:t xml:space="preserve"> </w:t>
      </w:r>
      <w:r>
        <w:rPr>
          <w:b w:val="0"/>
          <w:bCs w:val="0"/>
          <w:kern w:val="0"/>
          <w:szCs w:val="32"/>
        </w:rPr>
        <w:t>预警调整和解除</w:t>
      </w:r>
    </w:p>
    <w:p>
      <w:pPr>
        <w:spacing w:before="0" w:beforeLines="0" w:afterLines="0"/>
        <w:ind w:firstLine="640"/>
        <w:rPr>
          <w:b w:val="0"/>
          <w:bCs w:val="0"/>
          <w:kern w:val="0"/>
          <w:szCs w:val="32"/>
        </w:rPr>
      </w:pPr>
      <w:r>
        <w:rPr>
          <w:b w:val="0"/>
          <w:bCs w:val="0"/>
          <w:kern w:val="0"/>
          <w:szCs w:val="32"/>
        </w:rPr>
        <w:t>预警信息发布后，发布单位应当加强信息收集、分析、研判等工作。当预测发生前后两次重污染天气过程，且间隔时间未达到解除预警条件时，应按一次重污染过程计算，从高级别启动预警。</w:t>
      </w:r>
    </w:p>
    <w:p>
      <w:pPr>
        <w:spacing w:before="0" w:beforeLines="0" w:afterLines="0"/>
        <w:ind w:firstLine="640"/>
        <w:rPr>
          <w:b w:val="0"/>
          <w:bCs w:val="0"/>
          <w:kern w:val="0"/>
          <w:szCs w:val="32"/>
        </w:rPr>
      </w:pPr>
      <w:r>
        <w:rPr>
          <w:b w:val="0"/>
          <w:bCs w:val="0"/>
          <w:kern w:val="0"/>
          <w:szCs w:val="32"/>
        </w:rPr>
        <w:t>预警有升级可能时，</w:t>
      </w:r>
      <w:r>
        <w:rPr>
          <w:b w:val="0"/>
          <w:bCs w:val="0"/>
          <w:szCs w:val="32"/>
        </w:rPr>
        <w:t>由县</w:t>
      </w:r>
      <w:r>
        <w:rPr>
          <w:rFonts w:hint="eastAsia"/>
          <w:b w:val="0"/>
          <w:bCs w:val="0"/>
          <w:szCs w:val="32"/>
        </w:rPr>
        <w:t>指挥部</w:t>
      </w:r>
      <w:r>
        <w:rPr>
          <w:b w:val="0"/>
          <w:bCs w:val="0"/>
          <w:szCs w:val="32"/>
        </w:rPr>
        <w:t>或县</w:t>
      </w:r>
      <w:r>
        <w:rPr>
          <w:rFonts w:hint="eastAsia"/>
          <w:b w:val="0"/>
          <w:bCs w:val="0"/>
          <w:szCs w:val="32"/>
        </w:rPr>
        <w:t>指挥部</w:t>
      </w:r>
      <w:r>
        <w:rPr>
          <w:b w:val="0"/>
          <w:bCs w:val="0"/>
          <w:szCs w:val="32"/>
        </w:rPr>
        <w:t>授权县指挥部办公室</w:t>
      </w:r>
      <w:r>
        <w:rPr>
          <w:b w:val="0"/>
          <w:bCs w:val="0"/>
          <w:kern w:val="0"/>
          <w:szCs w:val="32"/>
        </w:rPr>
        <w:t>重新发布预警信息，并宣布预警级别调整。</w:t>
      </w:r>
    </w:p>
    <w:p>
      <w:pPr>
        <w:spacing w:before="0" w:beforeLines="0" w:afterLines="0"/>
        <w:ind w:firstLine="640"/>
        <w:rPr>
          <w:b w:val="0"/>
          <w:bCs w:val="0"/>
          <w:kern w:val="0"/>
          <w:szCs w:val="32"/>
        </w:rPr>
      </w:pPr>
      <w:r>
        <w:rPr>
          <w:b w:val="0"/>
          <w:bCs w:val="0"/>
          <w:kern w:val="0"/>
          <w:szCs w:val="32"/>
        </w:rPr>
        <w:t>当空气质量改善到相应级别预警启动标准以下，且预测将持续36小时以上时，可以降低预警级别或解除预警，由原发布单位提前发布信息。</w:t>
      </w:r>
    </w:p>
    <w:p>
      <w:pPr>
        <w:tabs>
          <w:tab w:val="left" w:pos="1264"/>
        </w:tabs>
        <w:spacing w:before="0" w:beforeLines="0" w:afterLines="0"/>
        <w:ind w:firstLine="632" w:firstLineChars="200"/>
        <w:outlineLvl w:val="0"/>
        <w:rPr>
          <w:rFonts w:hint="eastAsia" w:eastAsia="方正黑体_GBK" w:cs="方正黑体_GBK"/>
          <w:b w:val="0"/>
          <w:bCs w:val="0"/>
          <w:szCs w:val="32"/>
        </w:rPr>
      </w:pPr>
      <w:r>
        <w:rPr>
          <w:rFonts w:hint="eastAsia" w:eastAsia="方正黑体_GBK" w:cs="方正黑体_GBK"/>
          <w:b w:val="0"/>
          <w:bCs w:val="0"/>
          <w:szCs w:val="32"/>
        </w:rPr>
        <w:t>4 应急响应</w:t>
      </w:r>
    </w:p>
    <w:p>
      <w:pPr>
        <w:spacing w:before="0" w:beforeLines="0" w:afterLines="0"/>
        <w:ind w:firstLine="640"/>
        <w:rPr>
          <w:b w:val="0"/>
          <w:bCs w:val="0"/>
        </w:rPr>
      </w:pPr>
      <w:r>
        <w:rPr>
          <w:rFonts w:hint="eastAsia" w:eastAsia="方正楷体_GBK" w:cs="方正楷体_GBK"/>
          <w:b w:val="0"/>
          <w:bCs w:val="0"/>
          <w:szCs w:val="32"/>
        </w:rPr>
        <w:t xml:space="preserve">4.1 </w:t>
      </w:r>
      <w:r>
        <w:rPr>
          <w:b w:val="0"/>
          <w:bCs w:val="0"/>
        </w:rPr>
        <w:t>对应预警等级，实行三级响应。</w:t>
      </w:r>
    </w:p>
    <w:p>
      <w:pPr>
        <w:spacing w:before="0" w:beforeLines="0" w:afterLines="0"/>
        <w:ind w:firstLine="640"/>
        <w:rPr>
          <w:b w:val="0"/>
          <w:bCs w:val="0"/>
          <w:kern w:val="0"/>
          <w:szCs w:val="32"/>
        </w:rPr>
      </w:pPr>
      <w:r>
        <w:rPr>
          <w:rFonts w:hint="eastAsia"/>
          <w:b w:val="0"/>
          <w:bCs w:val="0"/>
          <w:kern w:val="0"/>
          <w:szCs w:val="32"/>
        </w:rPr>
        <w:t xml:space="preserve">4.1.1 </w:t>
      </w:r>
      <w:r>
        <w:rPr>
          <w:b w:val="0"/>
          <w:bCs w:val="0"/>
          <w:kern w:val="0"/>
          <w:szCs w:val="32"/>
        </w:rPr>
        <w:t>发布黄色预警时，启动III级应急响应。</w:t>
      </w:r>
    </w:p>
    <w:p>
      <w:pPr>
        <w:spacing w:before="0" w:beforeLines="0" w:afterLines="0"/>
        <w:ind w:firstLine="640"/>
        <w:rPr>
          <w:b w:val="0"/>
          <w:bCs w:val="0"/>
          <w:kern w:val="0"/>
          <w:szCs w:val="32"/>
        </w:rPr>
      </w:pPr>
      <w:r>
        <w:rPr>
          <w:rFonts w:hint="eastAsia"/>
          <w:b w:val="0"/>
          <w:bCs w:val="0"/>
          <w:kern w:val="0"/>
          <w:szCs w:val="32"/>
        </w:rPr>
        <w:t xml:space="preserve">4.1.2 </w:t>
      </w:r>
      <w:r>
        <w:rPr>
          <w:b w:val="0"/>
          <w:bCs w:val="0"/>
          <w:kern w:val="0"/>
          <w:szCs w:val="32"/>
        </w:rPr>
        <w:t>发布橙色预警时，启动II级应急响应。</w:t>
      </w:r>
    </w:p>
    <w:p>
      <w:pPr>
        <w:spacing w:before="0" w:beforeLines="0" w:afterLines="0"/>
        <w:ind w:firstLine="640"/>
        <w:rPr>
          <w:b w:val="0"/>
          <w:bCs w:val="0"/>
          <w:kern w:val="0"/>
          <w:szCs w:val="32"/>
        </w:rPr>
      </w:pPr>
      <w:r>
        <w:rPr>
          <w:rFonts w:hint="eastAsia"/>
          <w:b w:val="0"/>
          <w:bCs w:val="0"/>
          <w:kern w:val="0"/>
          <w:szCs w:val="32"/>
        </w:rPr>
        <w:t xml:space="preserve">4.1.3 </w:t>
      </w:r>
      <w:r>
        <w:rPr>
          <w:b w:val="0"/>
          <w:bCs w:val="0"/>
          <w:kern w:val="0"/>
          <w:szCs w:val="32"/>
        </w:rPr>
        <w:t>发布红色预警时，启动I级应急响应。</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4.2 响应措施</w:t>
      </w:r>
    </w:p>
    <w:p>
      <w:pPr>
        <w:spacing w:before="0" w:beforeLines="0" w:afterLines="0"/>
        <w:ind w:firstLine="640"/>
        <w:rPr>
          <w:b w:val="0"/>
          <w:bCs w:val="0"/>
          <w:kern w:val="0"/>
          <w:szCs w:val="32"/>
        </w:rPr>
      </w:pPr>
      <w:r>
        <w:rPr>
          <w:b w:val="0"/>
          <w:bCs w:val="0"/>
          <w:kern w:val="0"/>
          <w:szCs w:val="32"/>
        </w:rPr>
        <w:t>应急响应措施主要分为健康防护措施、倡导性减排措施和强制性减排措施。各有关单位在落实本预案相应等级预警应急响应措施的基础上，可结合本地空气质量状况、污染特征以及经济社会发展实际，采取更为严格的应急措施应对重污染天气。</w:t>
      </w:r>
    </w:p>
    <w:p>
      <w:pPr>
        <w:spacing w:before="0" w:beforeLines="0" w:afterLines="0"/>
        <w:ind w:firstLine="640"/>
        <w:rPr>
          <w:rFonts w:eastAsia="宋体"/>
          <w:b w:val="0"/>
          <w:bCs w:val="0"/>
          <w:szCs w:val="32"/>
        </w:rPr>
      </w:pPr>
      <w:r>
        <w:rPr>
          <w:b w:val="0"/>
          <w:bCs w:val="0"/>
          <w:kern w:val="0"/>
          <w:szCs w:val="32"/>
        </w:rPr>
        <w:t>III</w:t>
      </w:r>
      <w:r>
        <w:rPr>
          <w:b w:val="0"/>
          <w:bCs w:val="0"/>
          <w:szCs w:val="32"/>
        </w:rPr>
        <w:t>级、II级、I级应急响应的健康防护措施、倡导性减排措施信息由县指挥部办公室发布，各有关单位组织实施。</w:t>
      </w:r>
    </w:p>
    <w:p>
      <w:pPr>
        <w:pStyle w:val="22"/>
        <w:widowControl w:val="0"/>
        <w:spacing w:before="0" w:beforeAutospacing="0" w:after="0" w:afterAutospacing="0"/>
        <w:ind w:firstLine="632" w:firstLineChars="200"/>
        <w:jc w:val="both"/>
        <w:textAlignment w:val="baseline"/>
        <w:rPr>
          <w:rFonts w:ascii="Times New Roman" w:hAnsi="Times New Roman" w:eastAsia="方正仿宋_GBK"/>
          <w:b w:val="0"/>
          <w:bCs w:val="0"/>
          <w:sz w:val="32"/>
          <w:szCs w:val="32"/>
        </w:rPr>
      </w:pPr>
      <w:r>
        <w:rPr>
          <w:rFonts w:ascii="Times New Roman" w:hAnsi="Times New Roman" w:eastAsia="方正仿宋_GBK"/>
          <w:b w:val="0"/>
          <w:bCs w:val="0"/>
          <w:sz w:val="32"/>
          <w:szCs w:val="32"/>
        </w:rPr>
        <w:t>III级应急响应的强制性减排措</w:t>
      </w:r>
      <w:r>
        <w:rPr>
          <w:rFonts w:ascii="Times New Roman" w:hAnsi="Times New Roman" w:eastAsia="方正仿宋_GBK"/>
          <w:b w:val="0"/>
          <w:bCs w:val="0"/>
          <w:kern w:val="2"/>
          <w:sz w:val="32"/>
          <w:szCs w:val="32"/>
        </w:rPr>
        <w:t>施，县指挥部办公室会同有关部门加强检查、指导和督促，各有关部门、单位开展应急响应工作。</w:t>
      </w:r>
    </w:p>
    <w:p>
      <w:pPr>
        <w:tabs>
          <w:tab w:val="left" w:pos="1264"/>
        </w:tabs>
        <w:spacing w:before="0" w:beforeLines="0" w:afterLines="0"/>
        <w:ind w:firstLine="632" w:firstLineChars="200"/>
        <w:rPr>
          <w:rFonts w:hint="eastAsia"/>
          <w:b w:val="0"/>
          <w:bCs w:val="0"/>
          <w:szCs w:val="32"/>
        </w:rPr>
      </w:pPr>
      <w:r>
        <w:rPr>
          <w:b w:val="0"/>
          <w:bCs w:val="0"/>
          <w:szCs w:val="32"/>
        </w:rPr>
        <w:t>II级、I级应急响应的强制性减排措施，由县指挥部设立综合协调组、工业应急组、城市扬尘应急组、机动车排气应急组、宣传引导组</w:t>
      </w:r>
      <w:r>
        <w:rPr>
          <w:rFonts w:hint="eastAsia"/>
          <w:b w:val="0"/>
          <w:bCs w:val="0"/>
          <w:szCs w:val="32"/>
        </w:rPr>
        <w:t>对照职责分配</w:t>
      </w:r>
      <w:r>
        <w:rPr>
          <w:b w:val="0"/>
          <w:bCs w:val="0"/>
          <w:szCs w:val="32"/>
        </w:rPr>
        <w:t>，组织开展应急响应工作，工作组牵头单位派员在县指挥部办公室集中办公。</w:t>
      </w:r>
      <w:r>
        <w:rPr>
          <w:rFonts w:hint="eastAsia"/>
          <w:b w:val="0"/>
          <w:bCs w:val="0"/>
          <w:szCs w:val="32"/>
        </w:rPr>
        <w:t>县级</w:t>
      </w:r>
      <w:r>
        <w:rPr>
          <w:b w:val="0"/>
          <w:bCs w:val="0"/>
          <w:szCs w:val="32"/>
        </w:rPr>
        <w:t>有关部门及有关</w:t>
      </w:r>
      <w:r>
        <w:rPr>
          <w:rFonts w:hint="eastAsia"/>
          <w:b w:val="0"/>
          <w:bCs w:val="0"/>
          <w:szCs w:val="32"/>
        </w:rPr>
        <w:t>乡镇（街道）</w:t>
      </w:r>
      <w:r>
        <w:rPr>
          <w:b w:val="0"/>
          <w:bCs w:val="0"/>
          <w:szCs w:val="32"/>
        </w:rPr>
        <w:t>按照属事属地管理原则，组织开展应急响应工作。</w:t>
      </w:r>
    </w:p>
    <w:p>
      <w:pPr>
        <w:spacing w:before="0" w:beforeLines="0" w:afterLines="0"/>
        <w:ind w:firstLine="640"/>
        <w:rPr>
          <w:rFonts w:hint="eastAsia"/>
          <w:b w:val="0"/>
          <w:bCs w:val="0"/>
          <w:szCs w:val="32"/>
        </w:rPr>
      </w:pPr>
      <w:r>
        <w:rPr>
          <w:b w:val="0"/>
          <w:bCs w:val="0"/>
          <w:kern w:val="0"/>
          <w:szCs w:val="32"/>
        </w:rPr>
        <w:t>4.2.1 总体要求</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4.2.1.1 首要污染物为臭氧的应急响应期间，氮氧化物和挥发性有机物在Ⅲ级、II级、I级应急响应下，减排比例分别达到全社会总排放量的10%、20%和30%以上。首要污染物为细颗粒物的应急响应期间，二氧化硫、氮氧化物、细颗粒物和挥发性有机物在Ⅲ级、II级、I级应急响应下，减排比例分别达到全社会总排放量的10%、20%和30%以上。</w:t>
      </w:r>
    </w:p>
    <w:p>
      <w:pPr>
        <w:spacing w:before="0" w:beforeLines="0" w:afterLines="0"/>
        <w:ind w:firstLine="640"/>
        <w:rPr>
          <w:b w:val="0"/>
          <w:bCs w:val="0"/>
          <w:kern w:val="0"/>
          <w:szCs w:val="32"/>
        </w:rPr>
      </w:pPr>
      <w:r>
        <w:rPr>
          <w:rFonts w:hint="eastAsia"/>
          <w:b w:val="0"/>
          <w:bCs w:val="0"/>
          <w:szCs w:val="32"/>
        </w:rPr>
        <w:t xml:space="preserve">4.2.1.2 </w:t>
      </w:r>
      <w:r>
        <w:rPr>
          <w:b w:val="0"/>
          <w:bCs w:val="0"/>
          <w:kern w:val="0"/>
          <w:szCs w:val="32"/>
        </w:rPr>
        <w:t>逐个排查本行政区域内各类涉气污染源，摸清污染排放实际情况，编制重污染天气应急减排清单，清单须包括工业源、移动源、扬尘源等基本信息和相应预警级别下的减排措施。按照《重污染天气重点行业应急减排措施制定技术指南（2020年修订版）》规定，将重点行业涉气企业全部纳入重污染天气应急减排清单，其他行业企业视情况纳入，确保减排措施全覆盖。未纳入应急减排清单的重点行业涉气企业，根据减排需要，在橙色及以上预警期间采取统一应急减排措施。</w:t>
      </w:r>
    </w:p>
    <w:p>
      <w:pPr>
        <w:spacing w:before="0" w:beforeLines="0" w:afterLines="0"/>
        <w:ind w:firstLine="640"/>
        <w:rPr>
          <w:b w:val="0"/>
          <w:bCs w:val="0"/>
          <w:kern w:val="0"/>
          <w:szCs w:val="32"/>
        </w:rPr>
      </w:pPr>
      <w:r>
        <w:rPr>
          <w:b w:val="0"/>
          <w:bCs w:val="0"/>
          <w:kern w:val="0"/>
          <w:szCs w:val="32"/>
        </w:rPr>
        <w:t>对新兴产业、战略性产业和保障民生的企业，根据实际情况采取减排措施，尽量避免对正常生产生活造成影响。对承担城市生活垃圾或危险废物等民生保障类企业，在保障任务完成的同时，核定最大允许生产负荷，实施</w:t>
      </w:r>
      <w:r>
        <w:rPr>
          <w:rFonts w:hint="eastAsia"/>
          <w:b w:val="0"/>
          <w:bCs w:val="0"/>
          <w:kern w:val="0"/>
          <w:szCs w:val="32"/>
        </w:rPr>
        <w:t>“</w:t>
      </w:r>
      <w:r>
        <w:rPr>
          <w:b w:val="0"/>
          <w:bCs w:val="0"/>
          <w:kern w:val="0"/>
          <w:szCs w:val="32"/>
        </w:rPr>
        <w:t>以量定产</w:t>
      </w:r>
      <w:r>
        <w:rPr>
          <w:rFonts w:hint="eastAsia"/>
          <w:b w:val="0"/>
          <w:bCs w:val="0"/>
          <w:kern w:val="0"/>
          <w:szCs w:val="32"/>
        </w:rPr>
        <w:t>”</w:t>
      </w:r>
      <w:r>
        <w:rPr>
          <w:b w:val="0"/>
          <w:bCs w:val="0"/>
          <w:kern w:val="0"/>
          <w:szCs w:val="32"/>
        </w:rPr>
        <w:t>或</w:t>
      </w:r>
      <w:r>
        <w:rPr>
          <w:rFonts w:hint="eastAsia"/>
          <w:b w:val="0"/>
          <w:bCs w:val="0"/>
          <w:kern w:val="0"/>
          <w:szCs w:val="32"/>
        </w:rPr>
        <w:t>“</w:t>
      </w:r>
      <w:r>
        <w:rPr>
          <w:b w:val="0"/>
          <w:bCs w:val="0"/>
          <w:kern w:val="0"/>
          <w:szCs w:val="32"/>
        </w:rPr>
        <w:t>以热定产</w:t>
      </w:r>
      <w:r>
        <w:rPr>
          <w:rFonts w:hint="eastAsia"/>
          <w:b w:val="0"/>
          <w:bCs w:val="0"/>
          <w:kern w:val="0"/>
          <w:szCs w:val="32"/>
        </w:rPr>
        <w:t>”</w:t>
      </w:r>
      <w:r>
        <w:rPr>
          <w:b w:val="0"/>
          <w:bCs w:val="0"/>
          <w:kern w:val="0"/>
          <w:szCs w:val="32"/>
        </w:rPr>
        <w:t>。</w:t>
      </w:r>
    </w:p>
    <w:p>
      <w:pPr>
        <w:spacing w:before="0" w:beforeLines="0" w:afterLines="0"/>
        <w:ind w:firstLine="640"/>
        <w:rPr>
          <w:b w:val="0"/>
          <w:bCs w:val="0"/>
          <w:kern w:val="0"/>
          <w:szCs w:val="32"/>
        </w:rPr>
      </w:pPr>
      <w:r>
        <w:rPr>
          <w:b w:val="0"/>
          <w:bCs w:val="0"/>
          <w:kern w:val="0"/>
          <w:szCs w:val="32"/>
        </w:rPr>
        <w:t>每年动态更新应急减排清单，并按要求报市指挥部办公室备案。重污染天气应急预案和应急减排清单应当向社会公开，引导社会力量参与监督。</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4.2.1.3 在制定减排措施时，在满足减排比例要求的前提下，按照国家绩效分级标准，根据企业工艺装备水平、污染治理技术、无组织管控措施、监测监控水平、排放限值、运输方式等环保绩效情况，开展评定分级。对未达到总体减排比例要求的企业，及时加大应急减排力度；确因客观原因无法达到总体减排比例要求的企业，在提供详细测算说明和清单后，可视情核实其减排比例。</w:t>
      </w:r>
    </w:p>
    <w:p>
      <w:pPr>
        <w:spacing w:before="0" w:beforeLines="0" w:afterLines="0"/>
        <w:ind w:firstLine="640"/>
        <w:rPr>
          <w:b w:val="0"/>
          <w:bCs w:val="0"/>
          <w:kern w:val="0"/>
          <w:szCs w:val="32"/>
        </w:rPr>
      </w:pPr>
      <w:r>
        <w:rPr>
          <w:rFonts w:hint="eastAsia"/>
          <w:b w:val="0"/>
          <w:bCs w:val="0"/>
          <w:szCs w:val="32"/>
        </w:rPr>
        <w:t xml:space="preserve">4.2.1.4 </w:t>
      </w:r>
      <w:r>
        <w:rPr>
          <w:b w:val="0"/>
          <w:bCs w:val="0"/>
          <w:kern w:val="0"/>
          <w:szCs w:val="32"/>
        </w:rPr>
        <w:t>纳入重污染天气应急减排清单的工业企业是制定</w:t>
      </w:r>
      <w:r>
        <w:rPr>
          <w:rFonts w:hint="eastAsia"/>
          <w:b w:val="0"/>
          <w:bCs w:val="0"/>
          <w:kern w:val="0"/>
          <w:szCs w:val="32"/>
        </w:rPr>
        <w:t>“</w:t>
      </w:r>
      <w:r>
        <w:rPr>
          <w:b w:val="0"/>
          <w:bCs w:val="0"/>
          <w:kern w:val="0"/>
          <w:szCs w:val="32"/>
        </w:rPr>
        <w:t>一厂一策</w:t>
      </w:r>
      <w:r>
        <w:rPr>
          <w:rFonts w:hint="eastAsia"/>
          <w:b w:val="0"/>
          <w:bCs w:val="0"/>
          <w:kern w:val="0"/>
          <w:szCs w:val="32"/>
        </w:rPr>
        <w:t>”</w:t>
      </w:r>
      <w:r>
        <w:rPr>
          <w:b w:val="0"/>
          <w:bCs w:val="0"/>
          <w:kern w:val="0"/>
          <w:szCs w:val="32"/>
        </w:rPr>
        <w:t>实施方案的主体，要规范、科学、合理制定实施方案。实施方案含企业基本情况、主要生产工艺流程、主要涉气产排污环节及污染物排放情况（含重型运输车辆及非道路移动机械污染物排放情况），并载明不同级别预警下具体应急减排措施，实现</w:t>
      </w:r>
      <w:r>
        <w:rPr>
          <w:rFonts w:hint="eastAsia"/>
          <w:b w:val="0"/>
          <w:bCs w:val="0"/>
          <w:kern w:val="0"/>
          <w:szCs w:val="32"/>
        </w:rPr>
        <w:t>“</w:t>
      </w:r>
      <w:r>
        <w:rPr>
          <w:b w:val="0"/>
          <w:bCs w:val="0"/>
          <w:kern w:val="0"/>
          <w:szCs w:val="32"/>
        </w:rPr>
        <w:t>可操作、可监测、可核查</w:t>
      </w:r>
      <w:r>
        <w:rPr>
          <w:rFonts w:hint="eastAsia"/>
          <w:b w:val="0"/>
          <w:bCs w:val="0"/>
          <w:kern w:val="0"/>
          <w:szCs w:val="32"/>
        </w:rPr>
        <w:t>”</w:t>
      </w:r>
      <w:r>
        <w:rPr>
          <w:b w:val="0"/>
          <w:bCs w:val="0"/>
          <w:kern w:val="0"/>
          <w:szCs w:val="32"/>
        </w:rPr>
        <w:t>。</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4.2.1.5 施工扬尘采取管控措施，禁止混凝土搅拌、建筑拆除、渣土车运输、土石方作业等；道路扬尘采取适当增加主干道路和易产生扬尘路段的机扫和洒水频次等管控措施。</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4.2.1.6 移动源管控重点采取限制高排放车辆和非道路移动机械使用等措施。涉及大宗原材料及产品运输的重点用车企业，应制定错峰运输方案，从源头管控高排放车辆。机动车限行纳入常规城市管理的，不纳入应急管控范畴，不计入减排比例。</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4.2.1.7 加强工业源、扬尘源、移动源污染与重污染天气发生的相关性分析，实行精准施策。强化重点区域、重点企业、重点时段分类管控措施，统筹经济社会发展和重污染天气应急处置。</w:t>
      </w:r>
    </w:p>
    <w:p>
      <w:pPr>
        <w:pStyle w:val="6"/>
        <w:keepNext w:val="0"/>
        <w:keepLines w:val="0"/>
        <w:spacing w:before="0" w:after="0" w:line="240" w:lineRule="auto"/>
        <w:ind w:firstLine="632" w:firstLineChars="200"/>
        <w:rPr>
          <w:rFonts w:hint="eastAsia"/>
          <w:b w:val="0"/>
          <w:bCs w:val="0"/>
        </w:rPr>
      </w:pPr>
      <w:r>
        <w:rPr>
          <w:rFonts w:hint="eastAsia"/>
          <w:b w:val="0"/>
          <w:bCs w:val="0"/>
        </w:rPr>
        <w:t>4.2.2 Ⅲ级响应措施</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4.2.2.1 健康防护措施</w:t>
      </w:r>
    </w:p>
    <w:p>
      <w:pPr>
        <w:tabs>
          <w:tab w:val="left" w:pos="1264"/>
        </w:tabs>
        <w:spacing w:before="0" w:beforeLines="0" w:afterLines="0"/>
        <w:ind w:firstLine="632" w:firstLineChars="200"/>
        <w:rPr>
          <w:rFonts w:hint="eastAsia"/>
          <w:b w:val="0"/>
          <w:bCs w:val="0"/>
          <w:szCs w:val="32"/>
        </w:rPr>
      </w:pPr>
      <w:r>
        <w:rPr>
          <w:b w:val="0"/>
          <w:bCs w:val="0"/>
          <w:kern w:val="0"/>
          <w:szCs w:val="32"/>
        </w:rPr>
        <w:t>县委宣传部、县融媒体中心</w:t>
      </w:r>
      <w:r>
        <w:rPr>
          <w:rFonts w:hint="eastAsia"/>
          <w:b w:val="0"/>
          <w:bCs w:val="0"/>
          <w:kern w:val="0"/>
          <w:szCs w:val="32"/>
        </w:rPr>
        <w:t>等</w:t>
      </w:r>
      <w:r>
        <w:rPr>
          <w:b w:val="0"/>
          <w:bCs w:val="0"/>
          <w:kern w:val="0"/>
          <w:szCs w:val="32"/>
        </w:rPr>
        <w:t>按照预警信息发布途径</w:t>
      </w:r>
      <w:r>
        <w:rPr>
          <w:rFonts w:hint="eastAsia"/>
          <w:b w:val="0"/>
          <w:bCs w:val="0"/>
          <w:szCs w:val="32"/>
        </w:rPr>
        <w:t>及时发布健康防护警示，提醒儿童、老年人和相关疾病患者采取防护措施，提醒一般人减少户外活动，提醒室外作业人员采取必要的防护措施或减少室外作业。县教委指导全县各级各类学校减少学生户外活动时间。县卫生健康委组织医疗机构适当增设相关疾病门诊、急诊，加强对呼吸类疾病易感人群的就医指导和诊疗保障。</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4.2.2.2 倡议性减排措施</w:t>
      </w:r>
    </w:p>
    <w:p>
      <w:pPr>
        <w:tabs>
          <w:tab w:val="left" w:pos="1264"/>
        </w:tabs>
        <w:spacing w:before="0" w:beforeLines="0" w:afterLines="0"/>
        <w:ind w:firstLine="632" w:firstLineChars="200"/>
        <w:rPr>
          <w:rFonts w:hint="eastAsia"/>
          <w:b w:val="0"/>
          <w:bCs w:val="0"/>
          <w:szCs w:val="32"/>
        </w:rPr>
      </w:pPr>
      <w:r>
        <w:rPr>
          <w:b w:val="0"/>
          <w:bCs w:val="0"/>
          <w:kern w:val="0"/>
          <w:szCs w:val="32"/>
        </w:rPr>
        <w:t>县委宣传部、县融媒体中心等按照预警信息发布途径发布信息建议，</w:t>
      </w:r>
      <w:r>
        <w:rPr>
          <w:rFonts w:hint="eastAsia"/>
          <w:b w:val="0"/>
          <w:bCs w:val="0"/>
          <w:szCs w:val="32"/>
        </w:rPr>
        <w:t>倡导公众绿色消费，单位和公众尽量减少使用含挥发性有机物的涂料、油漆、溶剂等原材料及产品；倡导公众绿色出行，鼓励乘坐公交或电动汽车等方式出行；驻车及时熄火，减少车辆原地怠速运行时间；倡导公众绿色生活，节能减排，夏季适当调高、冬季适当调低空调温度。</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4.2.2.3 强制性减排措施</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（一）首要污染物为臭氧的应急响应期间，在保障城市正常运行的条件下，采取工业源、移动源、生活源等减排措施（II级、I级下同）。</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工业源减排措施。执行重污染天气工业源应急减排清单黄色预警减排措施。采取降低生产负荷、停产、加强污染治理、大宗物料错峰运输等措施实现减排。突出对工业涂装、家具制造、印刷包装、电子制造、石化、医药制造、机械加工、铸造、制鞋等企业的管控，督促企业强化挥发性有机物治理设施运行，减少有机溶剂使用，有条件的企业应在光化学反应关键时段（8—18时）安排错峰生产或暂停生产。</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移动源减排措施。执行本区域重污染天气移动源应急减排清单黄色预警减排措施。增加机动车路检、抽检数量和频率，严查冒黑烟车辆及尾气排放超标车辆上路行驶行为。限行区域内全天依法禁行高排放机动车。暂停使用挖掘机、装载机、平地机、压路机、摊铺机、叉车等非道路移动机械（电动非道路移动机械除外）。增加对生产流通领域加油站和油库车用油品环保指标的检查频次，严厉打击销售不合格油品行为。</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生活源减排措施。加大对餐饮油烟净化设施、汽修喷涂作业、干洗行业等生活源的检查力度。在光化学反应关键时段（8—18时）应避免开展外立面改造、道路沥青铺设、市政设施维护、交通标志标线刷漆等涉挥发性有机物排放作业。确需施工的应实施</w:t>
      </w:r>
    </w:p>
    <w:p>
      <w:pPr>
        <w:pStyle w:val="7"/>
        <w:keepNext w:val="0"/>
        <w:keepLines w:val="0"/>
        <w:spacing w:before="0" w:after="0" w:line="240" w:lineRule="auto"/>
        <w:ind w:firstLine="0" w:firstLineChars="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精细化管控，使用水性涂料等低挥发性有机物含量的涂料。</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（二）首要污染物为细颗粒物的应急响应期间，在臭氧应急响应措施的基础上增加扬尘源和其他减排措施（II级、I级下同）。</w:t>
      </w:r>
    </w:p>
    <w:p>
      <w:pPr>
        <w:pStyle w:val="7"/>
        <w:keepNext w:val="0"/>
        <w:keepLines w:val="0"/>
        <w:spacing w:before="0" w:after="0" w:line="240" w:lineRule="auto"/>
        <w:ind w:firstLine="632" w:firstLineChars="200"/>
        <w:rPr>
          <w:rFonts w:hint="eastAsia" w:ascii="Times New Roman" w:hAnsi="Times New Roman" w:eastAsia="方正仿宋_GBK"/>
          <w:b w:val="0"/>
          <w:sz w:val="32"/>
          <w:szCs w:val="32"/>
        </w:rPr>
      </w:pPr>
      <w:r>
        <w:rPr>
          <w:rFonts w:hint="eastAsia" w:ascii="Times New Roman" w:hAnsi="Times New Roman" w:eastAsia="方正仿宋_GBK"/>
          <w:b w:val="0"/>
          <w:sz w:val="32"/>
          <w:szCs w:val="32"/>
        </w:rPr>
        <w:t>扬尘源减排措施。执行本区域重污染天气扬尘源应急减排清单黄色预警减排措施。依法禁止从事土石方施工和房屋拆除施工作业；依法暂停预拌混凝土搅拌站、易产生扬尘污染的物料码头生产作业，并做好场地洒水降尘工作；依法禁止无密闭措施运输车辆在城市主干道行驶。在日常管控的基础上，增加对施工扬尘、渣土消纳场扬尘、道路扬尘等的检查频次。施工现场和重点企业煤、焦、渣、沙石等生产经营现场以及城市道路洒水冲洗频次，每日不少于3次。</w:t>
      </w:r>
    </w:p>
    <w:p>
      <w:pPr>
        <w:spacing w:before="0" w:beforeLines="0" w:afterLines="0"/>
        <w:ind w:firstLine="640"/>
        <w:rPr>
          <w:rFonts w:hint="eastAsia"/>
          <w:b w:val="0"/>
          <w:bCs w:val="0"/>
        </w:rPr>
      </w:pPr>
      <w:r>
        <w:rPr>
          <w:b w:val="0"/>
          <w:bCs w:val="0"/>
          <w:kern w:val="0"/>
          <w:szCs w:val="32"/>
        </w:rPr>
        <w:t>其他减排措施。依法禁止违规露天燃烧农业废弃物、城市清扫废物、园林废弃物、建筑废弃物、罚没品等，加大对违规行为的检查与执法力度。根据《重庆市燃放烟花爆竹管理条例》依法禁止或限制烟花爆竹燃放，相关部门加大对违规行为的检查与执法力度。争取人工增雨等气象干预措施。</w:t>
      </w:r>
    </w:p>
    <w:p>
      <w:pPr>
        <w:spacing w:before="0" w:beforeLines="0" w:afterLines="0"/>
        <w:ind w:firstLine="640"/>
        <w:rPr>
          <w:b w:val="0"/>
          <w:bCs w:val="0"/>
          <w:kern w:val="0"/>
          <w:szCs w:val="32"/>
        </w:rPr>
      </w:pPr>
      <w:r>
        <w:rPr>
          <w:b w:val="0"/>
          <w:bCs w:val="0"/>
          <w:kern w:val="0"/>
          <w:szCs w:val="32"/>
        </w:rPr>
        <w:t>4.2.3 Ⅱ级响应措施</w:t>
      </w:r>
    </w:p>
    <w:p>
      <w:pPr>
        <w:spacing w:before="0" w:beforeLines="0" w:afterLines="0"/>
        <w:ind w:firstLine="640"/>
        <w:rPr>
          <w:b w:val="0"/>
          <w:bCs w:val="0"/>
          <w:kern w:val="0"/>
          <w:szCs w:val="32"/>
        </w:rPr>
      </w:pPr>
      <w:r>
        <w:rPr>
          <w:b w:val="0"/>
          <w:bCs w:val="0"/>
          <w:kern w:val="0"/>
          <w:szCs w:val="32"/>
        </w:rPr>
        <w:t>在</w:t>
      </w:r>
      <w:r>
        <w:rPr>
          <w:rFonts w:hint="eastAsia"/>
          <w:b w:val="0"/>
          <w:bCs w:val="0"/>
          <w:kern w:val="0"/>
          <w:szCs w:val="32"/>
        </w:rPr>
        <w:t xml:space="preserve"> </w:t>
      </w:r>
      <w:r>
        <w:rPr>
          <w:b w:val="0"/>
          <w:bCs w:val="0"/>
          <w:kern w:val="0"/>
          <w:szCs w:val="32"/>
        </w:rPr>
        <w:t>III级响应措施的基础上增加或强化以下措施：</w:t>
      </w:r>
    </w:p>
    <w:p>
      <w:pPr>
        <w:spacing w:before="0" w:beforeLines="0" w:afterLines="0"/>
        <w:ind w:firstLine="640"/>
        <w:rPr>
          <w:b w:val="0"/>
          <w:bCs w:val="0"/>
          <w:kern w:val="0"/>
          <w:szCs w:val="32"/>
        </w:rPr>
      </w:pPr>
      <w:r>
        <w:rPr>
          <w:rFonts w:hint="eastAsia"/>
          <w:b w:val="0"/>
          <w:bCs w:val="0"/>
          <w:kern w:val="0"/>
          <w:szCs w:val="32"/>
        </w:rPr>
        <w:t xml:space="preserve">4.2.3.1 </w:t>
      </w:r>
      <w:r>
        <w:rPr>
          <w:b w:val="0"/>
          <w:bCs w:val="0"/>
          <w:kern w:val="0"/>
          <w:szCs w:val="32"/>
        </w:rPr>
        <w:t>倡导性减排措施</w:t>
      </w:r>
    </w:p>
    <w:p>
      <w:pPr>
        <w:spacing w:before="0" w:beforeLines="0" w:afterLines="0"/>
        <w:ind w:firstLine="640"/>
        <w:rPr>
          <w:b w:val="0"/>
          <w:bCs w:val="0"/>
          <w:kern w:val="0"/>
          <w:szCs w:val="32"/>
        </w:rPr>
      </w:pPr>
      <w:r>
        <w:rPr>
          <w:b w:val="0"/>
          <w:bCs w:val="0"/>
          <w:kern w:val="0"/>
          <w:szCs w:val="32"/>
        </w:rPr>
        <w:t>指导企事业单位根据重污染天气实际情况、应急响应措施，采取调休、错峰上下班、远程办公等弹性工作制。</w:t>
      </w:r>
    </w:p>
    <w:p>
      <w:pPr>
        <w:spacing w:before="0" w:beforeLines="0" w:afterLines="0"/>
        <w:ind w:firstLine="640"/>
        <w:rPr>
          <w:b w:val="0"/>
          <w:bCs w:val="0"/>
          <w:kern w:val="0"/>
          <w:szCs w:val="32"/>
        </w:rPr>
      </w:pPr>
      <w:r>
        <w:rPr>
          <w:rFonts w:hint="eastAsia"/>
          <w:b w:val="0"/>
          <w:bCs w:val="0"/>
          <w:kern w:val="0"/>
          <w:szCs w:val="32"/>
        </w:rPr>
        <w:t xml:space="preserve">4.2.3.2 </w:t>
      </w:r>
      <w:r>
        <w:rPr>
          <w:b w:val="0"/>
          <w:bCs w:val="0"/>
          <w:kern w:val="0"/>
          <w:szCs w:val="32"/>
        </w:rPr>
        <w:t>强制性减排措施</w:t>
      </w:r>
    </w:p>
    <w:p>
      <w:pPr>
        <w:spacing w:before="0" w:beforeLines="0" w:afterLines="0"/>
        <w:ind w:firstLine="640"/>
        <w:rPr>
          <w:b w:val="0"/>
          <w:bCs w:val="0"/>
          <w:kern w:val="0"/>
          <w:szCs w:val="32"/>
        </w:rPr>
      </w:pPr>
      <w:r>
        <w:rPr>
          <w:b w:val="0"/>
          <w:bCs w:val="0"/>
          <w:kern w:val="0"/>
          <w:szCs w:val="32"/>
        </w:rPr>
        <w:t>在保障城市正常运行的条件下，采取以下措施：</w:t>
      </w:r>
    </w:p>
    <w:p>
      <w:pPr>
        <w:spacing w:before="0" w:beforeLines="0" w:afterLines="0"/>
        <w:ind w:firstLine="640"/>
        <w:rPr>
          <w:b w:val="0"/>
          <w:bCs w:val="0"/>
          <w:kern w:val="0"/>
          <w:szCs w:val="32"/>
        </w:rPr>
      </w:pPr>
      <w:r>
        <w:rPr>
          <w:b w:val="0"/>
          <w:bCs w:val="0"/>
          <w:kern w:val="0"/>
          <w:szCs w:val="32"/>
        </w:rPr>
        <w:t>工业源减排措施。执行本区域重污染天气工业源应急减排清单橙色预警减排措施。针对涉气工序停限产或提高污染治理设施运行效率等方式实现减排。</w:t>
      </w:r>
    </w:p>
    <w:p>
      <w:pPr>
        <w:spacing w:before="0" w:beforeLines="0" w:afterLines="0"/>
        <w:ind w:firstLine="640"/>
        <w:rPr>
          <w:b w:val="0"/>
          <w:bCs w:val="0"/>
          <w:kern w:val="0"/>
          <w:szCs w:val="32"/>
        </w:rPr>
      </w:pPr>
      <w:r>
        <w:rPr>
          <w:b w:val="0"/>
          <w:bCs w:val="0"/>
          <w:kern w:val="0"/>
          <w:szCs w:val="32"/>
        </w:rPr>
        <w:t>扬尘源减排措施。执行本区域重污染天气扬尘源应急减排清单橙色预警减排措施。依法禁止所有园林绿化、道路开挖等室外施工作业。依法禁止所有渣土消纳场接纳渣土或进行场内渣土转运和挖掘施工作业。加强施工扬尘环境监管和执法检查工作，督促施工单位停工。加强对产生扬尘、粉尘、烟尘等重点企业的煤、焦、渣、沙石等堆场实施覆盖或者不间断喷淋等控尘措施情况的检查。建筑工地对料堆、土堆增加洒水和喷淋频次或采取覆盖措施。施工现场和重点企业煤、焦、渣、沙石等生产经营现场洒水冲洗频次</w:t>
      </w:r>
      <w:r>
        <w:rPr>
          <w:rFonts w:hint="eastAsia"/>
          <w:b w:val="0"/>
          <w:bCs w:val="0"/>
          <w:kern w:val="0"/>
          <w:szCs w:val="32"/>
        </w:rPr>
        <w:t>，</w:t>
      </w:r>
      <w:r>
        <w:rPr>
          <w:b w:val="0"/>
          <w:bCs w:val="0"/>
          <w:kern w:val="0"/>
          <w:szCs w:val="32"/>
        </w:rPr>
        <w:t>每日不少于4次</w:t>
      </w:r>
      <w:r>
        <w:rPr>
          <w:rFonts w:hint="eastAsia"/>
          <w:b w:val="0"/>
          <w:bCs w:val="0"/>
          <w:kern w:val="0"/>
          <w:szCs w:val="32"/>
        </w:rPr>
        <w:t>；</w:t>
      </w:r>
      <w:r>
        <w:rPr>
          <w:b w:val="0"/>
          <w:bCs w:val="0"/>
          <w:kern w:val="0"/>
          <w:szCs w:val="32"/>
        </w:rPr>
        <w:t>城市道路每日洒水冲洗频次</w:t>
      </w:r>
      <w:r>
        <w:rPr>
          <w:rFonts w:hint="eastAsia"/>
          <w:b w:val="0"/>
          <w:bCs w:val="0"/>
          <w:kern w:val="0"/>
          <w:szCs w:val="32"/>
        </w:rPr>
        <w:t>，每日</w:t>
      </w:r>
      <w:r>
        <w:rPr>
          <w:b w:val="0"/>
          <w:bCs w:val="0"/>
          <w:kern w:val="0"/>
          <w:szCs w:val="32"/>
        </w:rPr>
        <w:t>不少于4次，增加夜间洒水冲洗作业。</w:t>
      </w:r>
    </w:p>
    <w:p>
      <w:pPr>
        <w:spacing w:before="0" w:beforeLines="0" w:afterLines="0"/>
        <w:ind w:firstLine="638" w:firstLineChars="202"/>
        <w:rPr>
          <w:b w:val="0"/>
          <w:bCs w:val="0"/>
          <w:kern w:val="0"/>
          <w:szCs w:val="32"/>
        </w:rPr>
      </w:pPr>
      <w:r>
        <w:rPr>
          <w:b w:val="0"/>
          <w:bCs w:val="0"/>
          <w:kern w:val="0"/>
          <w:szCs w:val="32"/>
        </w:rPr>
        <w:t>移动源减排措施。执行本区域重污染天气移动源应急减排清单橙色预警减排措施。根据大气污染状况实施特定区域冒黑烟车辆限行。</w:t>
      </w:r>
      <w:r>
        <w:rPr>
          <w:rFonts w:hint="eastAsia"/>
          <w:b w:val="0"/>
          <w:bCs w:val="0"/>
          <w:kern w:val="0"/>
          <w:szCs w:val="32"/>
        </w:rPr>
        <w:t>减少</w:t>
      </w:r>
      <w:r>
        <w:rPr>
          <w:b w:val="0"/>
          <w:bCs w:val="0"/>
          <w:kern w:val="0"/>
          <w:szCs w:val="32"/>
        </w:rPr>
        <w:t>党政机关和事业单位</w:t>
      </w:r>
      <w:r>
        <w:rPr>
          <w:rFonts w:hint="eastAsia"/>
          <w:b w:val="0"/>
          <w:bCs w:val="0"/>
          <w:kern w:val="0"/>
          <w:szCs w:val="32"/>
        </w:rPr>
        <w:t>公务车辆使用</w:t>
      </w:r>
      <w:r>
        <w:rPr>
          <w:b w:val="0"/>
          <w:bCs w:val="0"/>
          <w:kern w:val="0"/>
          <w:szCs w:val="32"/>
        </w:rPr>
        <w:t>。交通部门适时调整公共交通运输能力，保障市民出行。</w:t>
      </w:r>
    </w:p>
    <w:p>
      <w:pPr>
        <w:tabs>
          <w:tab w:val="center" w:pos="4742"/>
        </w:tabs>
        <w:spacing w:before="0" w:beforeLines="0" w:afterLines="0"/>
        <w:ind w:firstLine="640"/>
        <w:rPr>
          <w:b w:val="0"/>
          <w:bCs w:val="0"/>
          <w:kern w:val="0"/>
          <w:szCs w:val="32"/>
        </w:rPr>
      </w:pPr>
      <w:r>
        <w:rPr>
          <w:b w:val="0"/>
          <w:bCs w:val="0"/>
          <w:kern w:val="0"/>
          <w:szCs w:val="32"/>
        </w:rPr>
        <w:t>4.2.4 Ⅰ级响应措施</w:t>
      </w:r>
      <w:r>
        <w:rPr>
          <w:b w:val="0"/>
          <w:bCs w:val="0"/>
          <w:kern w:val="0"/>
          <w:szCs w:val="32"/>
        </w:rPr>
        <w:tab/>
      </w:r>
    </w:p>
    <w:p>
      <w:pPr>
        <w:spacing w:before="0" w:beforeLines="0" w:afterLines="0"/>
        <w:ind w:firstLine="640"/>
        <w:rPr>
          <w:b w:val="0"/>
          <w:bCs w:val="0"/>
          <w:kern w:val="0"/>
          <w:szCs w:val="32"/>
        </w:rPr>
      </w:pPr>
      <w:r>
        <w:rPr>
          <w:b w:val="0"/>
          <w:bCs w:val="0"/>
          <w:kern w:val="0"/>
          <w:szCs w:val="32"/>
        </w:rPr>
        <w:t>在Ⅱ级响应措施的基础上增加或强化以下措施：</w:t>
      </w:r>
    </w:p>
    <w:p>
      <w:pPr>
        <w:spacing w:before="0" w:beforeLines="0" w:afterLines="0"/>
        <w:ind w:firstLine="640"/>
        <w:rPr>
          <w:b w:val="0"/>
          <w:bCs w:val="0"/>
          <w:kern w:val="0"/>
          <w:szCs w:val="32"/>
        </w:rPr>
      </w:pPr>
      <w:r>
        <w:rPr>
          <w:rFonts w:hint="eastAsia"/>
          <w:b w:val="0"/>
          <w:bCs w:val="0"/>
          <w:kern w:val="0"/>
          <w:szCs w:val="32"/>
        </w:rPr>
        <w:t xml:space="preserve">4.2.4.1 </w:t>
      </w:r>
      <w:r>
        <w:rPr>
          <w:b w:val="0"/>
          <w:bCs w:val="0"/>
          <w:kern w:val="0"/>
          <w:szCs w:val="32"/>
        </w:rPr>
        <w:t>健康防护措施</w:t>
      </w:r>
    </w:p>
    <w:p>
      <w:pPr>
        <w:spacing w:before="0" w:beforeLines="0" w:afterLines="0"/>
        <w:ind w:firstLine="640"/>
        <w:rPr>
          <w:b w:val="0"/>
          <w:bCs w:val="0"/>
          <w:kern w:val="0"/>
          <w:szCs w:val="32"/>
        </w:rPr>
      </w:pPr>
      <w:r>
        <w:rPr>
          <w:b w:val="0"/>
          <w:bCs w:val="0"/>
          <w:kern w:val="0"/>
          <w:szCs w:val="32"/>
        </w:rPr>
        <w:t>县教委指导中小学校和幼儿园依法取消学生户外活动或停课，可通过远程教育等方式安排学生在家学习。</w:t>
      </w:r>
    </w:p>
    <w:p>
      <w:pPr>
        <w:spacing w:before="0" w:beforeLines="0" w:afterLines="0"/>
        <w:ind w:firstLine="640"/>
        <w:rPr>
          <w:b w:val="0"/>
          <w:bCs w:val="0"/>
          <w:kern w:val="0"/>
          <w:szCs w:val="32"/>
        </w:rPr>
      </w:pPr>
      <w:r>
        <w:rPr>
          <w:rFonts w:hint="eastAsia"/>
          <w:b w:val="0"/>
          <w:bCs w:val="0"/>
          <w:kern w:val="0"/>
          <w:szCs w:val="32"/>
        </w:rPr>
        <w:t xml:space="preserve">4.2.4.2 </w:t>
      </w:r>
      <w:r>
        <w:rPr>
          <w:b w:val="0"/>
          <w:bCs w:val="0"/>
          <w:kern w:val="0"/>
          <w:szCs w:val="32"/>
        </w:rPr>
        <w:t>强制性减排措施</w:t>
      </w:r>
    </w:p>
    <w:p>
      <w:pPr>
        <w:spacing w:before="0" w:beforeLines="0" w:afterLines="0"/>
        <w:ind w:firstLine="640"/>
        <w:rPr>
          <w:b w:val="0"/>
          <w:bCs w:val="0"/>
          <w:kern w:val="0"/>
          <w:szCs w:val="32"/>
        </w:rPr>
      </w:pPr>
      <w:r>
        <w:rPr>
          <w:b w:val="0"/>
          <w:bCs w:val="0"/>
          <w:kern w:val="0"/>
          <w:szCs w:val="32"/>
        </w:rPr>
        <w:t>在保障城市正常运行的条件下，采取以下措施：</w:t>
      </w:r>
    </w:p>
    <w:p>
      <w:pPr>
        <w:spacing w:before="0" w:beforeLines="0" w:afterLines="0"/>
        <w:ind w:firstLine="640"/>
        <w:rPr>
          <w:b w:val="0"/>
          <w:bCs w:val="0"/>
          <w:kern w:val="0"/>
          <w:szCs w:val="32"/>
        </w:rPr>
      </w:pPr>
      <w:r>
        <w:rPr>
          <w:b w:val="0"/>
          <w:bCs w:val="0"/>
          <w:kern w:val="0"/>
          <w:szCs w:val="32"/>
        </w:rPr>
        <w:t>工业源减排措施。执行本区域重污染天气工业源应急减排清单红色预警减排措施。列入年度落后产能淘汰计划的排放大气污染物企业全部依法停产。</w:t>
      </w:r>
    </w:p>
    <w:p>
      <w:pPr>
        <w:spacing w:before="0" w:beforeLines="0" w:afterLines="0"/>
        <w:ind w:firstLine="640"/>
        <w:rPr>
          <w:b w:val="0"/>
          <w:bCs w:val="0"/>
          <w:kern w:val="0"/>
          <w:szCs w:val="32"/>
        </w:rPr>
      </w:pPr>
      <w:r>
        <w:rPr>
          <w:b w:val="0"/>
          <w:bCs w:val="0"/>
          <w:kern w:val="0"/>
          <w:szCs w:val="32"/>
        </w:rPr>
        <w:t>扬尘源减排措施。执行本区域重污染天气扬尘源应急减排清单红色预警减排措施。</w:t>
      </w:r>
    </w:p>
    <w:p>
      <w:pPr>
        <w:spacing w:before="0" w:beforeLines="0" w:afterLines="0"/>
        <w:ind w:firstLine="640"/>
        <w:rPr>
          <w:b w:val="0"/>
          <w:bCs w:val="0"/>
          <w:kern w:val="0"/>
          <w:szCs w:val="32"/>
        </w:rPr>
      </w:pPr>
      <w:r>
        <w:rPr>
          <w:b w:val="0"/>
          <w:bCs w:val="0"/>
          <w:kern w:val="0"/>
          <w:szCs w:val="32"/>
        </w:rPr>
        <w:t>移动源减排措施。执行本区域重污染天气移动源应急减排清单红色预警减排措施。</w:t>
      </w:r>
    </w:p>
    <w:p>
      <w:pPr>
        <w:pStyle w:val="5"/>
        <w:keepNext w:val="0"/>
        <w:keepLines w:val="0"/>
        <w:spacing w:before="0" w:after="0" w:line="240" w:lineRule="auto"/>
        <w:ind w:firstLine="632" w:firstLineChars="200"/>
        <w:rPr>
          <w:rFonts w:hint="eastAsia" w:ascii="Times New Roman" w:hAnsi="Times New Roman" w:cs="方正黑体_GBK"/>
          <w:b w:val="0"/>
          <w:bCs w:val="0"/>
          <w:sz w:val="32"/>
        </w:rPr>
      </w:pPr>
      <w:r>
        <w:rPr>
          <w:rFonts w:hint="eastAsia" w:ascii="Times New Roman" w:hAnsi="Times New Roman" w:cs="方正黑体_GBK"/>
          <w:b w:val="0"/>
          <w:bCs w:val="0"/>
          <w:sz w:val="32"/>
        </w:rPr>
        <w:t>5 信息公开</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5.1 应急响应报告和通报</w:t>
      </w:r>
    </w:p>
    <w:p>
      <w:pPr>
        <w:pStyle w:val="5"/>
        <w:keepNext w:val="0"/>
        <w:keepLines w:val="0"/>
        <w:spacing w:before="0" w:after="0" w:line="240" w:lineRule="auto"/>
        <w:ind w:firstLine="632" w:firstLineChars="200"/>
        <w:rPr>
          <w:rFonts w:hint="eastAsia" w:ascii="Times New Roman" w:hAnsi="Times New Roman" w:eastAsia="方正仿宋_GBK"/>
          <w:b w:val="0"/>
          <w:bCs w:val="0"/>
          <w:sz w:val="32"/>
        </w:rPr>
      </w:pPr>
      <w:r>
        <w:rPr>
          <w:rFonts w:hint="eastAsia" w:ascii="Times New Roman" w:hAnsi="Times New Roman" w:eastAsia="方正仿宋_GBK"/>
          <w:b w:val="0"/>
          <w:bCs w:val="0"/>
          <w:sz w:val="32"/>
        </w:rPr>
        <w:t>县指挥部在重污染天气预警发布、调整和解除后1天内将相关信息报市指挥部办公室。并视情况向周边区县或城市通报有关情况。</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5.2 新闻发布</w:t>
      </w:r>
    </w:p>
    <w:p>
      <w:pPr>
        <w:pStyle w:val="5"/>
        <w:keepNext w:val="0"/>
        <w:keepLines w:val="0"/>
        <w:spacing w:before="0" w:after="0" w:line="240" w:lineRule="auto"/>
        <w:ind w:firstLine="632" w:firstLineChars="200"/>
        <w:rPr>
          <w:rFonts w:hint="eastAsia" w:ascii="Times New Roman" w:hAnsi="Times New Roman" w:eastAsia="方正仿宋_GBK"/>
          <w:b w:val="0"/>
          <w:bCs w:val="0"/>
          <w:sz w:val="32"/>
        </w:rPr>
      </w:pPr>
      <w:r>
        <w:rPr>
          <w:rFonts w:hint="eastAsia" w:ascii="Times New Roman" w:hAnsi="Times New Roman" w:eastAsia="方正仿宋_GBK"/>
          <w:b w:val="0"/>
          <w:bCs w:val="0"/>
          <w:sz w:val="32"/>
        </w:rPr>
        <w:t>借助传统媒体和新媒体平台，通过发布新闻通稿、举行新闻发布会等形式，主动、及时、准确、客观向社会发布预警信息和应对情况，回应社会关切，澄清不实信息，正确引导社会舆论。</w:t>
      </w:r>
    </w:p>
    <w:p>
      <w:pPr>
        <w:pStyle w:val="5"/>
        <w:keepNext w:val="0"/>
        <w:keepLines w:val="0"/>
        <w:spacing w:before="0" w:after="0" w:line="240" w:lineRule="auto"/>
        <w:ind w:firstLine="632" w:firstLineChars="200"/>
        <w:rPr>
          <w:rFonts w:hint="eastAsia" w:ascii="Times New Roman" w:hAnsi="Times New Roman" w:cs="方正黑体_GBK"/>
          <w:b w:val="0"/>
          <w:bCs w:val="0"/>
          <w:sz w:val="32"/>
        </w:rPr>
      </w:pPr>
      <w:r>
        <w:rPr>
          <w:rFonts w:hint="eastAsia" w:ascii="Times New Roman" w:hAnsi="Times New Roman" w:cs="方正黑体_GBK"/>
          <w:b w:val="0"/>
          <w:bCs w:val="0"/>
          <w:sz w:val="32"/>
        </w:rPr>
        <w:t>6 总结评估</w:t>
      </w:r>
    </w:p>
    <w:p>
      <w:pPr>
        <w:tabs>
          <w:tab w:val="left" w:pos="1264"/>
        </w:tabs>
        <w:spacing w:before="0" w:beforeLines="0" w:afterLines="0"/>
        <w:ind w:firstLine="632" w:firstLineChars="200"/>
        <w:rPr>
          <w:rFonts w:hint="eastAsia"/>
          <w:b w:val="0"/>
          <w:bCs w:val="0"/>
          <w:szCs w:val="32"/>
        </w:rPr>
      </w:pPr>
      <w:r>
        <w:rPr>
          <w:rFonts w:hint="eastAsia"/>
          <w:b w:val="0"/>
          <w:bCs w:val="0"/>
          <w:szCs w:val="32"/>
        </w:rPr>
        <w:t>预警解除时，响应自行终止。县指挥部办公室及时组织调查、分析、评估响应措施落实情况及效果，分析存在的问题，提出对策建议，并及时向县指挥部及市指挥部办公室报送总结评估报告。</w:t>
      </w:r>
    </w:p>
    <w:p>
      <w:pPr>
        <w:pStyle w:val="4"/>
        <w:keepNext w:val="0"/>
        <w:keepLines w:val="0"/>
        <w:spacing w:before="0" w:after="0" w:line="240" w:lineRule="auto"/>
        <w:ind w:left="0" w:right="0" w:firstLine="632" w:firstLineChars="200"/>
        <w:jc w:val="both"/>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lang w:val="en-US"/>
        </w:rPr>
        <w:t>7</w:t>
      </w:r>
      <w:r>
        <w:rPr>
          <w:rFonts w:hint="eastAsia" w:ascii="Times New Roman" w:hAnsi="Times New Roman" w:eastAsia="方正黑体_GBK" w:cs="方正黑体_GBK"/>
          <w:b w:val="0"/>
          <w:bCs w:val="0"/>
          <w:sz w:val="32"/>
          <w:szCs w:val="32"/>
        </w:rPr>
        <w:t xml:space="preserve"> 应急保障</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7.1 队伍保障</w:t>
      </w:r>
    </w:p>
    <w:p>
      <w:pPr>
        <w:tabs>
          <w:tab w:val="left" w:pos="1264"/>
        </w:tabs>
        <w:spacing w:before="0" w:beforeLines="0" w:afterLines="0"/>
        <w:ind w:firstLine="632" w:firstLineChars="200"/>
        <w:rPr>
          <w:rFonts w:hint="eastAsia"/>
          <w:b w:val="0"/>
          <w:bCs w:val="0"/>
          <w:szCs w:val="32"/>
        </w:rPr>
      </w:pPr>
      <w:r>
        <w:rPr>
          <w:rFonts w:hint="eastAsia"/>
          <w:b w:val="0"/>
          <w:bCs w:val="0"/>
          <w:szCs w:val="32"/>
        </w:rPr>
        <w:t>加强环境空气质量和气象预测预报队伍建设，组织开展专业技术培训，提高空气重污染天气监测预警能力。</w:t>
      </w:r>
      <w:r>
        <w:rPr>
          <w:b w:val="0"/>
          <w:bCs w:val="0"/>
          <w:szCs w:val="32"/>
        </w:rPr>
        <w:t>县应急指挥协调小组各成员单位应明确专门人员负责重污染天气应急工作，提高应对重污染天气的组织、协调、实施和监管能力，确保在重污染天气预警期间，能迅速参与并完成各项应急响应工作。</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7.2 物资保障</w:t>
      </w:r>
    </w:p>
    <w:p>
      <w:pPr>
        <w:tabs>
          <w:tab w:val="left" w:pos="1264"/>
        </w:tabs>
        <w:spacing w:before="0" w:beforeLines="0" w:afterLines="0"/>
        <w:ind w:firstLine="632" w:firstLineChars="200"/>
        <w:rPr>
          <w:rFonts w:hint="eastAsia"/>
          <w:b w:val="0"/>
          <w:bCs w:val="0"/>
          <w:szCs w:val="32"/>
        </w:rPr>
      </w:pPr>
      <w:r>
        <w:rPr>
          <w:rFonts w:hint="eastAsia"/>
          <w:b w:val="0"/>
          <w:bCs w:val="0"/>
          <w:szCs w:val="32"/>
        </w:rPr>
        <w:t>加强环境应急监测设备、环境气象应急设备配备和日常维护管理，确保性能稳定、数据准确，保障重污染天气污染预报、应急监测、污染控制、处理处置等应对工作需求。</w:t>
      </w:r>
    </w:p>
    <w:p>
      <w:pPr>
        <w:tabs>
          <w:tab w:val="left" w:pos="1264"/>
        </w:tabs>
        <w:spacing w:before="0" w:beforeLines="0" w:afterLines="0"/>
        <w:ind w:firstLine="632" w:firstLineChars="200"/>
        <w:rPr>
          <w:rFonts w:hint="eastAsia"/>
          <w:b w:val="0"/>
          <w:bCs w:val="0"/>
          <w:szCs w:val="32"/>
        </w:rPr>
      </w:pPr>
      <w:r>
        <w:rPr>
          <w:rFonts w:hint="eastAsia"/>
          <w:b w:val="0"/>
          <w:bCs w:val="0"/>
          <w:szCs w:val="32"/>
        </w:rPr>
        <w:t>加强医疗机构应急能力建设，完善重污染天气情况下呼吸道疾病易感人群激增的应对措施，提高呼吸道疾病应急接诊和医疗救护能力。</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7.3 经费保障</w:t>
      </w:r>
    </w:p>
    <w:p>
      <w:pPr>
        <w:tabs>
          <w:tab w:val="left" w:pos="1264"/>
        </w:tabs>
        <w:spacing w:before="0" w:beforeLines="0" w:afterLines="0"/>
        <w:ind w:firstLine="632" w:firstLineChars="200"/>
        <w:rPr>
          <w:b w:val="0"/>
          <w:bCs w:val="0"/>
          <w:szCs w:val="32"/>
        </w:rPr>
      </w:pPr>
      <w:r>
        <w:rPr>
          <w:b w:val="0"/>
          <w:bCs w:val="0"/>
          <w:szCs w:val="32"/>
        </w:rPr>
        <w:t>县财政局为重污染天气应急减排清单修编、监测预警、应急处置、监督检查、基础设施建设、应急技术支持等工作提供必要的经费保障。</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7.4 信息联络保障</w:t>
      </w:r>
    </w:p>
    <w:p>
      <w:pPr>
        <w:tabs>
          <w:tab w:val="left" w:pos="1264"/>
        </w:tabs>
        <w:spacing w:before="0" w:beforeLines="0" w:afterLines="0"/>
        <w:ind w:firstLine="632" w:firstLineChars="200"/>
        <w:rPr>
          <w:rFonts w:hint="eastAsia"/>
          <w:b w:val="0"/>
          <w:bCs w:val="0"/>
          <w:szCs w:val="32"/>
        </w:rPr>
      </w:pPr>
      <w:r>
        <w:rPr>
          <w:rFonts w:hint="eastAsia"/>
          <w:b w:val="0"/>
          <w:bCs w:val="0"/>
          <w:szCs w:val="32"/>
        </w:rPr>
        <w:t xml:space="preserve">健全重污染天气应急值守制度，健全通信保障机制，明确重污染天气应急负责人和联络员，保持24小时通信畅通，确保应急信息和指令及时有效传达。 中国移动巫溪分公司、中国联通巫溪分公司、中国电信巫溪分公司要保障应急响应期间的通信联络和信息传递畅通。 </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7.5 其他保障</w:t>
      </w:r>
    </w:p>
    <w:p>
      <w:pPr>
        <w:tabs>
          <w:tab w:val="left" w:pos="1264"/>
        </w:tabs>
        <w:spacing w:before="0" w:beforeLines="0" w:afterLines="0"/>
        <w:ind w:firstLine="632" w:firstLineChars="200"/>
        <w:rPr>
          <w:rFonts w:hint="eastAsia"/>
          <w:b w:val="0"/>
          <w:bCs w:val="0"/>
          <w:szCs w:val="32"/>
        </w:rPr>
      </w:pPr>
      <w:r>
        <w:rPr>
          <w:rFonts w:hint="eastAsia"/>
          <w:b w:val="0"/>
          <w:bCs w:val="0"/>
          <w:szCs w:val="32"/>
        </w:rPr>
        <w:t xml:space="preserve">各乡镇（街道）、县政府有关部门和企事业单位加强空气重污染天气应对知识的宣传、教育，提高公众自我保护意识和自救互救能力。定期组织应急预案的培训和演练，不断提升空气重污染天气应对能力。 </w:t>
      </w:r>
    </w:p>
    <w:p>
      <w:pPr>
        <w:tabs>
          <w:tab w:val="left" w:pos="1264"/>
        </w:tabs>
        <w:spacing w:before="0" w:beforeLines="0" w:afterLines="0"/>
        <w:rPr>
          <w:rFonts w:hint="eastAsia"/>
          <w:b w:val="0"/>
          <w:bCs w:val="0"/>
          <w:szCs w:val="32"/>
        </w:rPr>
      </w:pPr>
      <w:r>
        <w:rPr>
          <w:rFonts w:hint="eastAsia"/>
          <w:b w:val="0"/>
          <w:bCs w:val="0"/>
          <w:szCs w:val="32"/>
        </w:rPr>
        <w:t xml:space="preserve">    县生态环境局、县气象局加强大气环境监测网络和环境气象监测网络建设，建设预报预警业务平台，建立空气质量预报预警会商制度，做好空气重污染天气过程的趋势分析，不断提高预测预警的准确率。建立大气污染物排放清单定期更新机制，及时掌握年度污染物排放总量和时空分布，为日常监管、监测预警、应急响应提供定量化依据。</w:t>
      </w:r>
    </w:p>
    <w:p>
      <w:pPr>
        <w:pStyle w:val="4"/>
        <w:keepNext w:val="0"/>
        <w:keepLines w:val="0"/>
        <w:spacing w:before="0" w:after="0" w:line="240" w:lineRule="auto"/>
        <w:ind w:left="0" w:right="0" w:firstLine="632" w:firstLineChars="200"/>
        <w:jc w:val="both"/>
        <w:rPr>
          <w:rFonts w:hint="eastAsia" w:ascii="Times New Roman" w:hAnsi="Times New Roman" w:eastAsia="方正黑体_GBK" w:cs="方正黑体_GBK"/>
          <w:b w:val="0"/>
          <w:bCs w:val="0"/>
          <w:sz w:val="32"/>
          <w:szCs w:val="32"/>
          <w:lang w:val="en-US"/>
        </w:rPr>
      </w:pPr>
      <w:r>
        <w:rPr>
          <w:rFonts w:hint="eastAsia" w:ascii="Times New Roman" w:hAnsi="Times New Roman" w:eastAsia="方正黑体_GBK" w:cs="方正黑体_GBK"/>
          <w:b w:val="0"/>
          <w:bCs w:val="0"/>
          <w:sz w:val="32"/>
          <w:szCs w:val="32"/>
          <w:lang w:val="en-US"/>
        </w:rPr>
        <w:t>8 监督问责</w:t>
      </w:r>
    </w:p>
    <w:p>
      <w:pPr>
        <w:spacing w:before="0" w:beforeLines="0" w:afterLines="0"/>
        <w:ind w:firstLine="632" w:firstLineChars="200"/>
        <w:rPr>
          <w:rFonts w:hint="eastAsia"/>
          <w:b w:val="0"/>
          <w:bCs w:val="0"/>
        </w:rPr>
      </w:pPr>
      <w:r>
        <w:rPr>
          <w:rFonts w:hint="eastAsia"/>
          <w:b w:val="0"/>
          <w:bCs w:val="0"/>
        </w:rPr>
        <w:t>县政府督查办要对重污染天气预警期间应急减排措施的落实情况进行严格监管。各乡镇（街道）、县政府有关部门、有关企事业单位充分利用大数据、智能化分析等手段，实时分析污染源在线监测、城市工业用电量、重点涉气企业用电量、城市车流量、重型载货车活动水平、非道路移动机械作业动态、遥感等数据，筛选涉嫌存在应急减排措施不落实的企业，对其进行重点监督检查。严厉打击应急响应期间减排措施不落实、自动监测数据造假、生产记录造假等违法行为。对已评定绩效等级的工业企业、绿色标杆工地等，未达到相应指标要求的，按规定降级处理。</w:t>
      </w:r>
    </w:p>
    <w:p>
      <w:pPr>
        <w:spacing w:before="0" w:beforeLines="0" w:afterLines="0"/>
        <w:ind w:firstLine="632" w:firstLineChars="200"/>
        <w:rPr>
          <w:b w:val="0"/>
          <w:bCs w:val="0"/>
        </w:rPr>
      </w:pPr>
      <w:r>
        <w:rPr>
          <w:rFonts w:hint="eastAsia"/>
          <w:b w:val="0"/>
          <w:bCs w:val="0"/>
        </w:rPr>
        <w:t>县指挥部办公室要督导检查应急响应措施工作开展情况，定期对督导情况进行汇总分析。对因工作不力、履职缺位等导致未有效应对重污染天气的，报政府依法依规追究有关单位及人员责任。</w:t>
      </w:r>
    </w:p>
    <w:p>
      <w:pPr>
        <w:pStyle w:val="4"/>
        <w:keepNext w:val="0"/>
        <w:keepLines w:val="0"/>
        <w:spacing w:before="0" w:after="0" w:line="240" w:lineRule="auto"/>
        <w:ind w:left="0" w:right="0" w:firstLine="632" w:firstLineChars="200"/>
        <w:jc w:val="both"/>
        <w:rPr>
          <w:rFonts w:hint="eastAsia" w:ascii="Times New Roman" w:hAnsi="Times New Roman" w:eastAsia="方正黑体_GBK" w:cs="方正黑体_GBK"/>
          <w:b w:val="0"/>
          <w:bCs w:val="0"/>
          <w:sz w:val="32"/>
          <w:szCs w:val="32"/>
        </w:rPr>
      </w:pPr>
      <w:r>
        <w:rPr>
          <w:rFonts w:hint="eastAsia" w:ascii="Times New Roman" w:hAnsi="Times New Roman" w:eastAsia="方正黑体_GBK" w:cs="方正黑体_GBK"/>
          <w:b w:val="0"/>
          <w:bCs w:val="0"/>
          <w:sz w:val="32"/>
          <w:szCs w:val="32"/>
          <w:lang w:val="en-US"/>
        </w:rPr>
        <w:t>9</w:t>
      </w:r>
      <w:r>
        <w:rPr>
          <w:rFonts w:hint="eastAsia" w:ascii="Times New Roman" w:hAnsi="Times New Roman" w:eastAsia="方正黑体_GBK" w:cs="方正黑体_GBK"/>
          <w:b w:val="0"/>
          <w:bCs w:val="0"/>
          <w:sz w:val="32"/>
          <w:szCs w:val="32"/>
        </w:rPr>
        <w:t xml:space="preserve"> 附则</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9.1 预案管理</w:t>
      </w:r>
    </w:p>
    <w:p>
      <w:pPr>
        <w:tabs>
          <w:tab w:val="left" w:pos="1264"/>
        </w:tabs>
        <w:spacing w:before="0" w:beforeLines="0" w:afterLines="0"/>
        <w:ind w:firstLine="632" w:firstLineChars="200"/>
        <w:rPr>
          <w:rFonts w:hint="eastAsia" w:eastAsia="方正楷体_GBK" w:cs="方正楷体_GBK"/>
          <w:b w:val="0"/>
          <w:bCs w:val="0"/>
        </w:rPr>
      </w:pPr>
      <w:r>
        <w:rPr>
          <w:rFonts w:hint="eastAsia"/>
          <w:b w:val="0"/>
          <w:bCs w:val="0"/>
          <w:szCs w:val="32"/>
        </w:rPr>
        <w:t>县指挥部办公室定期组织有关部门和单位开展应急预案评估工作，适时对本预案进行修订。本预案有效期原则上不超过5年。各有关部门和重点企业要制定与职责或所排放污染物相关的专项工作方案，落实具体工作人员和相关物资。</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9.2 预案解释</w:t>
      </w:r>
    </w:p>
    <w:p>
      <w:pPr>
        <w:tabs>
          <w:tab w:val="left" w:pos="1264"/>
        </w:tabs>
        <w:spacing w:before="0" w:beforeLines="0" w:afterLines="0"/>
        <w:ind w:firstLine="632" w:firstLineChars="200"/>
        <w:rPr>
          <w:rFonts w:hint="eastAsia"/>
          <w:b w:val="0"/>
          <w:bCs w:val="0"/>
          <w:szCs w:val="32"/>
        </w:rPr>
      </w:pPr>
      <w:r>
        <w:rPr>
          <w:rFonts w:hint="eastAsia"/>
          <w:b w:val="0"/>
          <w:bCs w:val="0"/>
          <w:szCs w:val="32"/>
        </w:rPr>
        <w:t>本预案由县生态环境局负责解释。</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9.3 实施时间</w:t>
      </w:r>
    </w:p>
    <w:p>
      <w:pPr>
        <w:tabs>
          <w:tab w:val="left" w:pos="1264"/>
        </w:tabs>
        <w:spacing w:before="0" w:beforeLines="0" w:afterLines="0"/>
        <w:ind w:firstLine="632" w:firstLineChars="200"/>
        <w:rPr>
          <w:rFonts w:hint="eastAsia"/>
          <w:b w:val="0"/>
          <w:bCs w:val="0"/>
          <w:szCs w:val="32"/>
        </w:rPr>
      </w:pPr>
      <w:r>
        <w:rPr>
          <w:rFonts w:hint="eastAsia"/>
          <w:b w:val="0"/>
          <w:bCs w:val="0"/>
          <w:szCs w:val="32"/>
        </w:rPr>
        <w:t>本预案自印发之日起施行。《巫溪县人民政府办公室关于印发巫溪县空气重污染天气应急预案的通知》（巫溪府办发〔2021〕83号）同时废止。</w:t>
      </w:r>
    </w:p>
    <w:p>
      <w:pPr>
        <w:pStyle w:val="5"/>
        <w:keepNext w:val="0"/>
        <w:keepLines w:val="0"/>
        <w:spacing w:before="0" w:after="0" w:line="240" w:lineRule="auto"/>
        <w:ind w:firstLine="632" w:firstLineChars="200"/>
        <w:rPr>
          <w:rFonts w:hint="eastAsia" w:ascii="Times New Roman" w:hAnsi="Times New Roman" w:eastAsia="方正楷体_GBK" w:cs="方正楷体_GBK"/>
          <w:b w:val="0"/>
          <w:bCs w:val="0"/>
          <w:sz w:val="32"/>
        </w:rPr>
      </w:pPr>
      <w:r>
        <w:rPr>
          <w:rFonts w:hint="eastAsia" w:ascii="Times New Roman" w:hAnsi="Times New Roman" w:eastAsia="方正楷体_GBK" w:cs="方正楷体_GBK"/>
          <w:b w:val="0"/>
          <w:bCs w:val="0"/>
          <w:sz w:val="32"/>
        </w:rPr>
        <w:t>9.4 名词术语</w:t>
      </w:r>
    </w:p>
    <w:p>
      <w:pPr>
        <w:spacing w:before="0" w:beforeLines="0" w:afterLines="0"/>
        <w:ind w:firstLine="640"/>
        <w:rPr>
          <w:rFonts w:hint="eastAsia"/>
          <w:b w:val="0"/>
          <w:bCs w:val="0"/>
          <w:szCs w:val="32"/>
        </w:rPr>
      </w:pPr>
      <w:r>
        <w:rPr>
          <w:b w:val="0"/>
          <w:bCs w:val="0"/>
          <w:szCs w:val="32"/>
        </w:rPr>
        <w:t>响应区域：指重污染天气污染源头可能所在和可能受到影响需采取应对措施的区域，Ⅲ级响应时，其具体范围由综合协调组建议，县指挥部决定，无特殊情况范围为海拔350m以下的凤凰</w:t>
      </w:r>
      <w:r>
        <w:rPr>
          <w:rFonts w:hint="eastAsia"/>
          <w:b w:val="0"/>
          <w:bCs w:val="0"/>
          <w:szCs w:val="32"/>
        </w:rPr>
        <w:t>镇—</w:t>
      </w:r>
      <w:r>
        <w:rPr>
          <w:b w:val="0"/>
          <w:bCs w:val="0"/>
          <w:szCs w:val="32"/>
        </w:rPr>
        <w:t>柏杨街道</w:t>
      </w:r>
      <w:r>
        <w:rPr>
          <w:rFonts w:hint="eastAsia"/>
          <w:b w:val="0"/>
          <w:bCs w:val="0"/>
          <w:szCs w:val="32"/>
        </w:rPr>
        <w:t>—</w:t>
      </w:r>
      <w:r>
        <w:rPr>
          <w:b w:val="0"/>
          <w:bCs w:val="0"/>
          <w:szCs w:val="32"/>
        </w:rPr>
        <w:t>宁河街道</w:t>
      </w:r>
      <w:r>
        <w:rPr>
          <w:rFonts w:hint="eastAsia"/>
          <w:b w:val="0"/>
          <w:bCs w:val="0"/>
          <w:szCs w:val="32"/>
        </w:rPr>
        <w:t>—</w:t>
      </w:r>
      <w:r>
        <w:rPr>
          <w:b w:val="0"/>
          <w:bCs w:val="0"/>
          <w:szCs w:val="32"/>
        </w:rPr>
        <w:t>城厢镇的柏杨河</w:t>
      </w:r>
      <w:r>
        <w:rPr>
          <w:rFonts w:hint="eastAsia"/>
          <w:b w:val="0"/>
          <w:bCs w:val="0"/>
          <w:szCs w:val="32"/>
        </w:rPr>
        <w:t>—</w:t>
      </w:r>
      <w:r>
        <w:rPr>
          <w:b w:val="0"/>
          <w:bCs w:val="0"/>
          <w:szCs w:val="32"/>
        </w:rPr>
        <w:t>大宁河河谷区域，</w:t>
      </w:r>
      <w:r>
        <w:rPr>
          <w:rFonts w:hint="eastAsia"/>
          <w:b w:val="0"/>
          <w:bCs w:val="0"/>
          <w:szCs w:val="32"/>
        </w:rPr>
        <w:t>示意图如附件4所示，</w:t>
      </w:r>
      <w:r>
        <w:rPr>
          <w:b w:val="0"/>
          <w:bCs w:val="0"/>
          <w:szCs w:val="32"/>
        </w:rPr>
        <w:t>Ⅱ级、Ⅰ级响应时，其具体范围由市指挥部</w:t>
      </w:r>
      <w:r>
        <w:rPr>
          <w:rFonts w:hint="eastAsia"/>
          <w:b w:val="0"/>
          <w:bCs w:val="0"/>
          <w:szCs w:val="32"/>
        </w:rPr>
        <w:t>办公室</w:t>
      </w:r>
      <w:r>
        <w:rPr>
          <w:b w:val="0"/>
          <w:bCs w:val="0"/>
          <w:szCs w:val="32"/>
        </w:rPr>
        <w:t>决定。</w:t>
      </w:r>
    </w:p>
    <w:p>
      <w:pPr>
        <w:shd w:val="clear" w:color="auto" w:fill="FFFFFF"/>
        <w:spacing w:before="0" w:beforeLines="0" w:afterLines="0"/>
        <w:ind w:firstLine="632" w:firstLineChars="200"/>
        <w:outlineLvl w:val="0"/>
        <w:rPr>
          <w:rFonts w:hint="eastAsia"/>
          <w:b w:val="0"/>
          <w:bCs w:val="0"/>
          <w:szCs w:val="32"/>
        </w:rPr>
      </w:pPr>
    </w:p>
    <w:p>
      <w:pPr>
        <w:shd w:val="clear" w:color="auto" w:fill="FFFFFF"/>
        <w:spacing w:before="0" w:beforeLines="0" w:afterLines="0"/>
        <w:ind w:firstLine="632" w:firstLineChars="200"/>
        <w:outlineLvl w:val="0"/>
        <w:rPr>
          <w:b w:val="0"/>
          <w:bCs w:val="0"/>
        </w:rPr>
      </w:pPr>
      <w:r>
        <w:rPr>
          <w:rFonts w:hint="eastAsia"/>
          <w:b w:val="0"/>
          <w:bCs w:val="0"/>
          <w:szCs w:val="32"/>
        </w:rPr>
        <w:t xml:space="preserve">附件：1. </w:t>
      </w:r>
      <w:r>
        <w:rPr>
          <w:rFonts w:hint="eastAsia"/>
          <w:b w:val="0"/>
          <w:bCs w:val="0"/>
        </w:rPr>
        <w:t>巫溪</w:t>
      </w:r>
      <w:r>
        <w:rPr>
          <w:b w:val="0"/>
          <w:bCs w:val="0"/>
        </w:rPr>
        <w:t>县重污染天气应急</w:t>
      </w:r>
      <w:r>
        <w:rPr>
          <w:rFonts w:hint="eastAsia"/>
          <w:b w:val="0"/>
          <w:bCs w:val="0"/>
        </w:rPr>
        <w:t>响应</w:t>
      </w:r>
      <w:r>
        <w:rPr>
          <w:b w:val="0"/>
          <w:bCs w:val="0"/>
        </w:rPr>
        <w:t>职责分工</w:t>
      </w:r>
    </w:p>
    <w:p>
      <w:pPr>
        <w:shd w:val="clear" w:color="auto" w:fill="FFFFFF"/>
        <w:spacing w:before="0" w:beforeLines="0" w:afterLines="0"/>
        <w:ind w:firstLine="1580" w:firstLineChars="500"/>
        <w:rPr>
          <w:b w:val="0"/>
          <w:bCs w:val="0"/>
        </w:rPr>
      </w:pPr>
      <w:r>
        <w:rPr>
          <w:rFonts w:hint="eastAsia"/>
          <w:b w:val="0"/>
          <w:bCs w:val="0"/>
        </w:rPr>
        <w:t>2. 重污染天气应急响应期间减排措施企业名单</w:t>
      </w:r>
    </w:p>
    <w:p>
      <w:pPr>
        <w:shd w:val="clear" w:color="auto" w:fill="FFFFFF"/>
        <w:spacing w:before="0" w:beforeLines="0" w:afterLines="0"/>
        <w:ind w:firstLine="1580" w:firstLineChars="500"/>
        <w:rPr>
          <w:b w:val="0"/>
          <w:bCs w:val="0"/>
          <w:w w:val="95"/>
        </w:rPr>
      </w:pPr>
      <w:r>
        <w:rPr>
          <w:rFonts w:hint="eastAsia"/>
          <w:b w:val="0"/>
          <w:bCs w:val="0"/>
        </w:rPr>
        <w:t xml:space="preserve">3 </w:t>
      </w:r>
      <w:r>
        <w:rPr>
          <w:rFonts w:hint="eastAsia"/>
          <w:b w:val="0"/>
          <w:bCs w:val="0"/>
          <w:w w:val="95"/>
        </w:rPr>
        <w:t>重污染天气应急响应期间减排措施施工工地名单</w:t>
      </w:r>
    </w:p>
    <w:p>
      <w:pPr>
        <w:pStyle w:val="2"/>
        <w:widowControl w:val="0"/>
        <w:numPr>
          <w:ilvl w:val="-1"/>
          <w:numId w:val="0"/>
        </w:numPr>
        <w:adjustRightInd/>
        <w:snapToGrid/>
        <w:spacing w:before="0" w:beforeLines="0"/>
        <w:ind w:left="0" w:firstLine="1580" w:firstLineChars="500"/>
        <w:jc w:val="both"/>
        <w:rPr>
          <w:rFonts w:ascii="Times New Roman" w:hAnsi="Times New Roman" w:eastAsia="方正仿宋_GBK"/>
          <w:b w:val="0"/>
          <w:bCs w:val="0"/>
          <w:sz w:val="32"/>
          <w:szCs w:val="32"/>
        </w:rPr>
      </w:pPr>
      <w:r>
        <w:rPr>
          <w:rFonts w:hint="eastAsia"/>
          <w:b w:val="0"/>
          <w:bCs w:val="0"/>
          <w:sz w:val="32"/>
          <w:szCs w:val="32"/>
          <w:lang w:val="en-US" w:eastAsia="zh-CN"/>
        </w:rPr>
        <w:t>4.</w:t>
      </w:r>
      <w:r>
        <w:rPr>
          <w:rFonts w:ascii="Times New Roman" w:hAnsi="Times New Roman" w:eastAsia="方正仿宋_GBK"/>
          <w:b w:val="0"/>
          <w:bCs w:val="0"/>
          <w:sz w:val="32"/>
          <w:szCs w:val="32"/>
        </w:rPr>
        <w:t>重污染天气应急指挥部机构图</w:t>
      </w:r>
    </w:p>
    <w:p>
      <w:pPr>
        <w:pStyle w:val="2"/>
        <w:widowControl w:val="0"/>
        <w:numPr>
          <w:ilvl w:val="-1"/>
          <w:numId w:val="0"/>
        </w:numPr>
        <w:adjustRightInd/>
        <w:snapToGrid/>
        <w:spacing w:before="0" w:beforeLines="0"/>
        <w:ind w:left="0" w:firstLine="1580" w:firstLineChars="500"/>
        <w:jc w:val="both"/>
        <w:rPr>
          <w:rFonts w:ascii="Times New Roman" w:hAnsi="Times New Roman" w:eastAsia="方正仿宋_GBK"/>
          <w:b w:val="0"/>
          <w:bCs w:val="0"/>
          <w:sz w:val="32"/>
          <w:szCs w:val="32"/>
        </w:rPr>
      </w:pPr>
      <w:r>
        <w:rPr>
          <w:rFonts w:hint="eastAsia"/>
          <w:b w:val="0"/>
          <w:bCs w:val="0"/>
          <w:sz w:val="32"/>
          <w:szCs w:val="32"/>
          <w:lang w:val="en-US" w:eastAsia="zh-CN"/>
        </w:rPr>
        <w:t>5.</w:t>
      </w:r>
      <w:r>
        <w:rPr>
          <w:rFonts w:ascii="Times New Roman" w:hAnsi="Times New Roman" w:eastAsia="方正仿宋_GBK"/>
          <w:b w:val="0"/>
          <w:bCs w:val="0"/>
          <w:sz w:val="32"/>
          <w:szCs w:val="32"/>
        </w:rPr>
        <w:t>重污染天气应急响应范围图</w:t>
      </w:r>
    </w:p>
    <w:p>
      <w:pPr>
        <w:pStyle w:val="2"/>
        <w:widowControl w:val="0"/>
        <w:numPr>
          <w:ilvl w:val="-1"/>
          <w:numId w:val="0"/>
        </w:numPr>
        <w:adjustRightInd/>
        <w:snapToGrid/>
        <w:spacing w:before="0" w:beforeLines="0"/>
        <w:ind w:left="0" w:firstLine="632" w:firstLineChars="200"/>
        <w:jc w:val="both"/>
        <w:rPr>
          <w:rFonts w:hint="eastAsia" w:ascii="方正仿宋_GBK" w:hAnsi="方正仿宋_GBK" w:eastAsia="方正仿宋_GBK" w:cs="方正仿宋_GBK"/>
          <w:b w:val="0"/>
          <w:bCs w:val="0"/>
          <w:sz w:val="32"/>
          <w:szCs w:val="32"/>
        </w:rPr>
      </w:pPr>
      <w:r>
        <w:rPr>
          <w:rFonts w:hint="eastAsia"/>
          <w:b w:val="0"/>
          <w:bCs w:val="0"/>
          <w:sz w:val="32"/>
          <w:szCs w:val="32"/>
          <w:lang w:val="en-US" w:eastAsia="zh-CN"/>
        </w:rPr>
        <w:t xml:space="preserve">      6. </w:t>
      </w:r>
      <w:r>
        <w:rPr>
          <w:rFonts w:ascii="Times New Roman" w:hAnsi="Times New Roman" w:eastAsia="方正仿宋_GBK"/>
          <w:b w:val="0"/>
          <w:bCs w:val="0"/>
          <w:sz w:val="32"/>
          <w:szCs w:val="32"/>
        </w:rPr>
        <w:t>巫溪县重污染天</w:t>
      </w:r>
      <w:r>
        <w:rPr>
          <w:rFonts w:hint="eastAsia" w:ascii="方正仿宋_GBK" w:hAnsi="方正仿宋_GBK" w:eastAsia="方正仿宋_GBK" w:cs="方正仿宋_GBK"/>
          <w:b w:val="0"/>
          <w:bCs w:val="0"/>
          <w:sz w:val="32"/>
          <w:szCs w:val="32"/>
        </w:rPr>
        <w:t>气应急指挥部成员单位联系表</w:t>
      </w:r>
    </w:p>
    <w:p>
      <w:pPr>
        <w:spacing w:before="0" w:beforeLines="0" w:afterLines="0"/>
        <w:rPr>
          <w:rFonts w:eastAsia="方正黑体_GBK"/>
          <w:b w:val="0"/>
          <w:bCs w:val="0"/>
        </w:rPr>
        <w:sectPr>
          <w:headerReference r:id="rId3" w:type="default"/>
          <w:footerReference r:id="rId5" w:type="default"/>
          <w:headerReference r:id="rId4" w:type="even"/>
          <w:footerReference r:id="rId6" w:type="even"/>
          <w:pgSz w:w="11906" w:h="16838"/>
          <w:pgMar w:top="2098" w:right="1474" w:bottom="1984" w:left="1587" w:header="851" w:footer="1474" w:gutter="0"/>
          <w:pgNumType w:fmt="decimal"/>
          <w:cols w:space="0" w:num="1"/>
          <w:rtlGutter w:val="0"/>
          <w:docGrid w:type="linesAndChars" w:linePitch="579" w:charSpace="-842"/>
        </w:sectPr>
      </w:pPr>
    </w:p>
    <w:p>
      <w:pPr>
        <w:spacing w:before="0" w:beforeLines="0" w:afterLines="0" w:line="240" w:lineRule="auto"/>
        <w:rPr>
          <w:rFonts w:eastAsia="方正黑体_GBK"/>
          <w:b w:val="0"/>
          <w:bCs w:val="0"/>
        </w:rPr>
      </w:pPr>
      <w:r>
        <w:rPr>
          <w:rFonts w:eastAsia="方正黑体_GBK"/>
          <w:b w:val="0"/>
          <w:bCs w:val="0"/>
        </w:rPr>
        <w:t>附件1</w:t>
      </w:r>
    </w:p>
    <w:p>
      <w:pPr>
        <w:pStyle w:val="2"/>
        <w:adjustRightInd/>
        <w:snapToGrid/>
        <w:spacing w:before="0" w:beforeLines="0" w:after="0" w:line="240" w:lineRule="auto"/>
        <w:rPr>
          <w:b w:val="0"/>
          <w:bCs w:val="0"/>
        </w:rPr>
      </w:pPr>
    </w:p>
    <w:p>
      <w:pPr>
        <w:spacing w:before="0" w:beforeLines="0" w:afterLines="0" w:line="240" w:lineRule="auto"/>
        <w:jc w:val="center"/>
        <w:rPr>
          <w:rFonts w:hint="eastAsia"/>
          <w:b w:val="0"/>
          <w:bCs w:val="0"/>
        </w:rPr>
      </w:pPr>
      <w:r>
        <w:rPr>
          <w:rFonts w:hint="eastAsia" w:eastAsia="方正小标宋_GBK"/>
          <w:b w:val="0"/>
          <w:bCs w:val="0"/>
          <w:sz w:val="44"/>
          <w:szCs w:val="44"/>
        </w:rPr>
        <w:t>巫溪县重污染天气应急响应职责分工表</w:t>
      </w:r>
    </w:p>
    <w:tbl>
      <w:tblPr>
        <w:tblStyle w:val="26"/>
        <w:tblW w:w="12570" w:type="dxa"/>
        <w:tblInd w:w="108" w:type="dxa"/>
        <w:tblLayout w:type="fixed"/>
        <w:tblCellMar>
          <w:top w:w="0" w:type="dxa"/>
          <w:left w:w="108" w:type="dxa"/>
          <w:bottom w:w="0" w:type="dxa"/>
          <w:right w:w="108" w:type="dxa"/>
        </w:tblCellMar>
      </w:tblPr>
      <w:tblGrid>
        <w:gridCol w:w="720"/>
        <w:gridCol w:w="1829"/>
        <w:gridCol w:w="10021"/>
      </w:tblGrid>
      <w:tr>
        <w:tblPrEx>
          <w:tblCellMar>
            <w:top w:w="0" w:type="dxa"/>
            <w:left w:w="108" w:type="dxa"/>
            <w:bottom w:w="0" w:type="dxa"/>
            <w:right w:w="108" w:type="dxa"/>
          </w:tblCellMar>
        </w:tblPrEx>
        <w:trPr>
          <w:trHeight w:val="567" w:hRule="atLeast"/>
          <w:tblHeader/>
        </w:trPr>
        <w:tc>
          <w:tcPr>
            <w:tcW w:w="720" w:type="dxa"/>
            <w:tcBorders>
              <w:top w:val="single" w:color="auto" w:sz="4" w:space="0"/>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eastAsia="方正黑体_GBK" w:cs="方正黑体_GBK"/>
                <w:b w:val="0"/>
                <w:bCs w:val="0"/>
                <w:kern w:val="0"/>
                <w:sz w:val="24"/>
              </w:rPr>
            </w:pPr>
            <w:r>
              <w:rPr>
                <w:rFonts w:hint="eastAsia" w:eastAsia="方正黑体_GBK" w:cs="方正黑体_GBK"/>
                <w:b w:val="0"/>
                <w:bCs w:val="0"/>
                <w:kern w:val="0"/>
                <w:sz w:val="24"/>
              </w:rPr>
              <w:t>序号</w:t>
            </w:r>
          </w:p>
        </w:tc>
        <w:tc>
          <w:tcPr>
            <w:tcW w:w="1829" w:type="dxa"/>
            <w:tcBorders>
              <w:top w:val="single" w:color="auto" w:sz="4" w:space="0"/>
              <w:left w:val="nil"/>
              <w:bottom w:val="single" w:color="auto" w:sz="4" w:space="0"/>
              <w:right w:val="single" w:color="auto" w:sz="4" w:space="0"/>
            </w:tcBorders>
            <w:noWrap w:val="0"/>
            <w:vAlign w:val="center"/>
          </w:tcPr>
          <w:p>
            <w:pPr>
              <w:spacing w:before="0" w:beforeLines="0" w:afterLines="0" w:line="240" w:lineRule="auto"/>
              <w:jc w:val="center"/>
              <w:rPr>
                <w:rFonts w:hint="eastAsia" w:eastAsia="方正黑体_GBK" w:cs="方正黑体_GBK"/>
                <w:b w:val="0"/>
                <w:bCs w:val="0"/>
                <w:kern w:val="0"/>
                <w:sz w:val="24"/>
              </w:rPr>
            </w:pPr>
            <w:r>
              <w:rPr>
                <w:rFonts w:hint="eastAsia" w:eastAsia="方正黑体_GBK" w:cs="方正黑体_GBK"/>
                <w:b w:val="0"/>
                <w:bCs w:val="0"/>
                <w:kern w:val="0"/>
                <w:sz w:val="24"/>
              </w:rPr>
              <w:t>成员单位</w:t>
            </w:r>
          </w:p>
        </w:tc>
        <w:tc>
          <w:tcPr>
            <w:tcW w:w="10021" w:type="dxa"/>
            <w:tcBorders>
              <w:top w:val="single" w:color="auto" w:sz="4" w:space="0"/>
              <w:left w:val="nil"/>
              <w:bottom w:val="single" w:color="auto" w:sz="4" w:space="0"/>
              <w:right w:val="single" w:color="auto" w:sz="4" w:space="0"/>
            </w:tcBorders>
            <w:noWrap w:val="0"/>
            <w:vAlign w:val="center"/>
          </w:tcPr>
          <w:p>
            <w:pPr>
              <w:spacing w:before="0" w:beforeLines="0" w:afterLines="0" w:line="240" w:lineRule="auto"/>
              <w:jc w:val="center"/>
              <w:rPr>
                <w:rFonts w:hint="eastAsia" w:eastAsia="方正黑体_GBK" w:cs="方正黑体_GBK"/>
                <w:b w:val="0"/>
                <w:bCs w:val="0"/>
                <w:kern w:val="0"/>
                <w:sz w:val="24"/>
              </w:rPr>
            </w:pPr>
            <w:r>
              <w:rPr>
                <w:rFonts w:hint="eastAsia" w:eastAsia="方正黑体_GBK" w:cs="方正黑体_GBK"/>
                <w:b w:val="0"/>
                <w:bCs w:val="0"/>
                <w:kern w:val="0"/>
                <w:sz w:val="24"/>
              </w:rPr>
              <w:t>职责分工</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1</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县政府办公室</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负责对应急指挥部成员单位履职情况开展政务督查督办。</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2</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县委宣传部</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牵头负责宣传引导组，组织协调主要新闻媒体做好本预案和全县污染天气应对工作的宣传报道；负责组织协调重污染天气预警信息发布，组织指导新闻报道工作；配合开展重污染天气应对宣传教育活动，做好社会动员，普及科学常识。</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3</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县发展改革委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负责重污染天气应急响应期间能源调度工作，督促有关单位做好县外电力采购等能源保障工作；负责监督重点燃煤企业储备与调配使用优质煤炭。</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4</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县教委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指导督促执行中小学校和幼儿园重污染天气响应期间减少或停止户外教学活动、采取弹性教学或停课等应急措施，并对重污染天气应急响应期间相关措施落实情况进行监督检查；组织指导中小学校和幼儿园开展重污染天气健康防护知识宣传教育和应急演练；及时总结评估应急响应期间各项措施的执行情况及效果，并报告县应急指挥部办公室。</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5</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县科技局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配合开展重污染天气应对宣传教育活动，做好社会动员，普及科学常识。</w:t>
            </w:r>
          </w:p>
        </w:tc>
      </w:tr>
      <w:tr>
        <w:tblPrEx>
          <w:tblCellMar>
            <w:top w:w="0" w:type="dxa"/>
            <w:left w:w="108" w:type="dxa"/>
            <w:bottom w:w="0" w:type="dxa"/>
            <w:right w:w="108" w:type="dxa"/>
          </w:tblCellMar>
        </w:tblPrEx>
        <w:trPr>
          <w:trHeight w:val="1342"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6</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县经济信息委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牵头工业应急组，负责配合环保部门制定并更新工业企业应急减排项目清单；协助指导督促重点排污企业编制落实重污染天气应急响应操作方案，并对重污染天气应急响应期间相关措施落实情况开展监督检查。</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7</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县公安局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牵头机动车排气应急组，制订机动车限行、禁止燃放烟花爆竹等管控措施，并对相关措施落实情况开展监督检查；指导督促制定重污染天气应急响应期间重型运输车辆管控措施，并对落实情况进行监督检查；负责联合生态环境部门组织开展机动车大气污染的监督检查；配合城管部门开展渣土车、砂石车等车辆违反规定上路行驶的检查执法。</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8</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县财政局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负责空气重污染天气应急工作经费保障。</w:t>
            </w:r>
          </w:p>
        </w:tc>
      </w:tr>
      <w:tr>
        <w:tblPrEx>
          <w:tblCellMar>
            <w:top w:w="0" w:type="dxa"/>
            <w:left w:w="108" w:type="dxa"/>
            <w:bottom w:w="0" w:type="dxa"/>
            <w:right w:w="108" w:type="dxa"/>
          </w:tblCellMar>
        </w:tblPrEx>
        <w:trPr>
          <w:trHeight w:val="1630"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9</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县规划自然资源局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制定土地整治施工、矿山露天开采扬尘管控方案，并对落实情况进行监督检查；组织落实重污染天气应急响应期间土地整治施工工地非道路移动机械和建筑垃圾、渣土、砂石运输等重型车辆管控措施，并对落实情况进行监督检查。</w:t>
            </w:r>
          </w:p>
        </w:tc>
      </w:tr>
      <w:tr>
        <w:tblPrEx>
          <w:tblCellMar>
            <w:top w:w="0" w:type="dxa"/>
            <w:left w:w="108" w:type="dxa"/>
            <w:bottom w:w="0" w:type="dxa"/>
            <w:right w:w="108" w:type="dxa"/>
          </w:tblCellMar>
        </w:tblPrEx>
        <w:trPr>
          <w:trHeight w:val="4310"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10</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县生态环境局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重污染天气应对工作统筹协调；牵头制（修）订全县重污染天气应急预案，指导督促重点企业编制重污染天气应急响应实施方案，并对重污染天气应急响应期间相关措施落实情况开展监督检查；负责全县环境空气质量的监测与评估，建立监测预警应急体系，会同气象部门及专家组加强空气质量预警会商和环境空气质量预报，向县重污染天气应急指挥部报送预警建议；牵头制定环境空气质量预测预报分级会商实施方案；牵头制定并定期更新大气污染源清单，组织制定应急减排项目清单，对纳入保障类项目的保障民生、保障城市正常运转或涉及国家战略性产业的工业企业进行预审核；组织开展重污染天气应对宣传教育活动，做好社会动员，普及科学常识；收集分析各部门工作信息，及时上报重要信息；联合公安机关开展机动车大气污染的监督检查；配合做好新闻发布工作；负责重污染天气专家组的日常工作。</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11</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县住房城乡建委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牵头负责城市扬尘应急组工作，制定并定期更新房屋建筑施工、城市管网应急减排项目清单，对各地制定的纳入保障类的保障民生、保障城市正常运转的建筑施工、城市管网建设项目进行预审核；指导督促各施工单位制定并组织落实重污染天气应急响应期间房屋建筑、城市管网施工工地扬尘控制措施；组织落实重污染天气应急响应期间室外建筑工地喷涂粉刷、房屋立面整治涂刷作业等管控措施，并对落实情况进行监督检查；组织落实重污染天气应急响应期间房屋建筑和城市管网施工项目非道路移动机械和建筑垃圾、渣土、砂石运输等重型车辆管控措施，并对落实情况进行监督检查；配合城管部门加强重污染天气应急响应期间对建筑垃圾、渣土、砂石运输车辆的执法检查力度。</w:t>
            </w:r>
          </w:p>
        </w:tc>
      </w:tr>
      <w:tr>
        <w:tblPrEx>
          <w:tblCellMar>
            <w:top w:w="0" w:type="dxa"/>
            <w:left w:w="108" w:type="dxa"/>
            <w:bottom w:w="0" w:type="dxa"/>
            <w:right w:w="108" w:type="dxa"/>
          </w:tblCellMar>
        </w:tblPrEx>
        <w:trPr>
          <w:trHeight w:val="2483"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12</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县城市管理局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牵头负责城市扬尘应急组工作；制定并定期更新市政基础设施施工应急减排项目清单，对各地制定的纳入保障类的保障民生、保障城市正常运转的市政道路建设项目进行预审核；指导督促各施工单位制定并组织落实重污染天气应急响应期间市政基础设施施工工地扬尘控制措施；</w:t>
            </w:r>
            <w:r>
              <w:rPr>
                <w:rFonts w:hint="eastAsia" w:cs="方正仿宋_GBK"/>
                <w:b w:val="0"/>
                <w:bCs w:val="0"/>
                <w:kern w:val="0"/>
                <w:sz w:val="24"/>
                <w:lang w:bidi="ar"/>
              </w:rPr>
              <w:t>指导督促各施工单位制定并组织落实重污染天气应急响应期间市政基础设施施工工地扬尘控制措施；负责开展渣土车、砂石车等车辆抛洒、带泥上路等违法行为的执法检查；负责制定并组织落实城市道路扬尘控制和禁止城市违规露天焚烧、露天烧烤、违章占道经营烧烤实施方案。</w:t>
            </w:r>
          </w:p>
        </w:tc>
      </w:tr>
      <w:tr>
        <w:tblPrEx>
          <w:tblCellMar>
            <w:top w:w="0" w:type="dxa"/>
            <w:left w:w="108" w:type="dxa"/>
            <w:bottom w:w="0" w:type="dxa"/>
            <w:right w:w="108" w:type="dxa"/>
          </w:tblCellMar>
        </w:tblPrEx>
        <w:trPr>
          <w:trHeight w:val="2676"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13</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县交通局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牵头机动车排气应急组，负责制定并定期更新权限范围内公路维修施工应急减排项目清单，对各地制定的纳入保障类的保障民生、保障城市正常运转的交通建设项目进行预审核；组织实施重污染天气应急响应期间公共交通运力保障措施，引导公众选择绿色出行；负责制定重污染天气应急响应期间权限范围内公路施工和养护扬尘污染控制实施方案和喷涂粉刷、切割、护坡喷浆等施工过程管控措施，并对落实情况进行监督检查； 组织落实重污染天气应急响应期间权限范围内公路施工和养护项目非道路移动机械和建筑垃圾、渣土、砂石运输等重型车辆管控措施，并对落实情况进行监督检查。</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14</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县农业农村委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负责加大对露天焚烧秸秆等行为的查处力度。</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15</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县商务委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负责服装干洗行业监管，确保废气处理设施正常运行，切实减少挥发性有机物排放；配合县生态环境局做好加油站油气回收装置的监管。</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16</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县卫生健康委</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制定重污染天气应急诊疗措施，并抓好落实；及时开展重污染天气对人体健康影响的监测工作，研究指导重污染天气的疾病预防与控制工作；加强对特殊人群的健康防范指导，组织开展重污染天气健康防护相关知识宣传。</w:t>
            </w:r>
          </w:p>
        </w:tc>
      </w:tr>
      <w:tr>
        <w:tblPrEx>
          <w:tblCellMar>
            <w:top w:w="0" w:type="dxa"/>
            <w:left w:w="108" w:type="dxa"/>
            <w:bottom w:w="0" w:type="dxa"/>
            <w:right w:w="108" w:type="dxa"/>
          </w:tblCellMar>
        </w:tblPrEx>
        <w:trPr>
          <w:trHeight w:val="567" w:hRule="atLeast"/>
        </w:trPr>
        <w:tc>
          <w:tcPr>
            <w:tcW w:w="720" w:type="dxa"/>
            <w:tcBorders>
              <w:top w:val="nil"/>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17</w:t>
            </w:r>
          </w:p>
        </w:tc>
        <w:tc>
          <w:tcPr>
            <w:tcW w:w="1829"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县应急局</w:t>
            </w:r>
          </w:p>
        </w:tc>
        <w:tc>
          <w:tcPr>
            <w:tcW w:w="10021" w:type="dxa"/>
            <w:tcBorders>
              <w:top w:val="nil"/>
              <w:left w:val="nil"/>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根据重污染天气应急减排项目清单，指导重点污染企业做好临时停产、限产（降低生产负荷）时的安全生产工作；配合做好重污染天气的应急演练、应急响应、调查评估、信息发布、应急保障和救助救援等工作。</w:t>
            </w:r>
          </w:p>
        </w:tc>
      </w:tr>
      <w:tr>
        <w:tblPrEx>
          <w:tblCellMar>
            <w:top w:w="0" w:type="dxa"/>
            <w:left w:w="108" w:type="dxa"/>
            <w:bottom w:w="0" w:type="dxa"/>
            <w:right w:w="108" w:type="dxa"/>
          </w:tblCellMar>
        </w:tblPrEx>
        <w:trPr>
          <w:trHeight w:val="567" w:hRule="atLeast"/>
        </w:trPr>
        <w:tc>
          <w:tcPr>
            <w:tcW w:w="720" w:type="dxa"/>
            <w:tcBorders>
              <w:top w:val="single" w:color="auto" w:sz="4" w:space="0"/>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18</w:t>
            </w:r>
          </w:p>
        </w:tc>
        <w:tc>
          <w:tcPr>
            <w:tcW w:w="1829"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县市场监管局</w:t>
            </w:r>
          </w:p>
        </w:tc>
        <w:tc>
          <w:tcPr>
            <w:tcW w:w="10021"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负责组织开展燃煤质量监督检查，加强生产领域涉及排放的特种设备、成品燃油、燃气的质量监管；严厉打击生产、销售不合格车船用燃料的违法行为。</w:t>
            </w:r>
          </w:p>
        </w:tc>
      </w:tr>
      <w:tr>
        <w:tblPrEx>
          <w:tblCellMar>
            <w:top w:w="0" w:type="dxa"/>
            <w:left w:w="108" w:type="dxa"/>
            <w:bottom w:w="0" w:type="dxa"/>
            <w:right w:w="108" w:type="dxa"/>
          </w:tblCellMar>
        </w:tblPrEx>
        <w:trPr>
          <w:trHeight w:val="567" w:hRule="atLeast"/>
        </w:trPr>
        <w:tc>
          <w:tcPr>
            <w:tcW w:w="720" w:type="dxa"/>
            <w:tcBorders>
              <w:top w:val="single" w:color="auto" w:sz="4" w:space="0"/>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19</w:t>
            </w:r>
          </w:p>
        </w:tc>
        <w:tc>
          <w:tcPr>
            <w:tcW w:w="1829"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cs="方正仿宋_GBK"/>
                <w:b w:val="0"/>
                <w:bCs w:val="0"/>
                <w:kern w:val="0"/>
                <w:sz w:val="24"/>
              </w:rPr>
            </w:pPr>
            <w:r>
              <w:rPr>
                <w:rFonts w:hint="eastAsia" w:cs="方正仿宋_GBK"/>
                <w:b w:val="0"/>
                <w:bCs w:val="0"/>
                <w:kern w:val="0"/>
                <w:sz w:val="24"/>
              </w:rPr>
              <w:t>工业园区管委会</w:t>
            </w:r>
          </w:p>
        </w:tc>
        <w:tc>
          <w:tcPr>
            <w:tcW w:w="10021"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督促管辖范围内企业落实空气重污染天气应急管理工作各项措施；及时报送应急管理工作情况。</w:t>
            </w:r>
          </w:p>
        </w:tc>
      </w:tr>
      <w:tr>
        <w:tblPrEx>
          <w:tblCellMar>
            <w:top w:w="0" w:type="dxa"/>
            <w:left w:w="108" w:type="dxa"/>
            <w:bottom w:w="0" w:type="dxa"/>
            <w:right w:w="108" w:type="dxa"/>
          </w:tblCellMar>
        </w:tblPrEx>
        <w:trPr>
          <w:trHeight w:val="567" w:hRule="atLeast"/>
        </w:trPr>
        <w:tc>
          <w:tcPr>
            <w:tcW w:w="720" w:type="dxa"/>
            <w:tcBorders>
              <w:top w:val="single" w:color="auto" w:sz="4" w:space="0"/>
              <w:left w:val="single" w:color="auto" w:sz="4" w:space="0"/>
              <w:bottom w:val="single" w:color="auto" w:sz="4" w:space="0"/>
              <w:right w:val="single" w:color="auto" w:sz="4" w:space="0"/>
            </w:tcBorders>
            <w:noWrap/>
            <w:vAlign w:val="center"/>
          </w:tcPr>
          <w:p>
            <w:pPr>
              <w:spacing w:before="0" w:beforeLines="0" w:afterLines="0" w:line="240" w:lineRule="auto"/>
              <w:jc w:val="center"/>
              <w:rPr>
                <w:rFonts w:hint="eastAsia" w:cs="方正仿宋_GBK"/>
                <w:b w:val="0"/>
                <w:bCs w:val="0"/>
                <w:kern w:val="0"/>
                <w:sz w:val="24"/>
              </w:rPr>
            </w:pPr>
            <w:r>
              <w:rPr>
                <w:rFonts w:hint="eastAsia" w:cs="方正仿宋_GBK"/>
                <w:b w:val="0"/>
                <w:bCs w:val="0"/>
                <w:kern w:val="0"/>
                <w:sz w:val="24"/>
              </w:rPr>
              <w:t>20</w:t>
            </w:r>
          </w:p>
        </w:tc>
        <w:tc>
          <w:tcPr>
            <w:tcW w:w="1829"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县融媒体中心</w:t>
            </w:r>
          </w:p>
        </w:tc>
        <w:tc>
          <w:tcPr>
            <w:tcW w:w="10021"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负责指导、督促和协调广播电视媒体做好重污染天气预警信息的发布工作；负责指导和协调广播电视媒体开展重污染天气预防、控制措施的宣传报道。</w:t>
            </w:r>
          </w:p>
        </w:tc>
      </w:tr>
      <w:tr>
        <w:tblPrEx>
          <w:tblCellMar>
            <w:top w:w="0" w:type="dxa"/>
            <w:left w:w="108" w:type="dxa"/>
            <w:bottom w:w="0" w:type="dxa"/>
            <w:right w:w="108" w:type="dxa"/>
          </w:tblCellMar>
        </w:tblPrEx>
        <w:trPr>
          <w:trHeight w:val="567" w:hRule="atLeast"/>
        </w:trPr>
        <w:tc>
          <w:tcPr>
            <w:tcW w:w="720" w:type="dxa"/>
            <w:tcBorders>
              <w:top w:val="single" w:color="auto" w:sz="4" w:space="0"/>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21</w:t>
            </w:r>
          </w:p>
        </w:tc>
        <w:tc>
          <w:tcPr>
            <w:tcW w:w="1829"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县气象局</w:t>
            </w:r>
          </w:p>
        </w:tc>
        <w:tc>
          <w:tcPr>
            <w:tcW w:w="10021"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负责环境气象监测、气象预报及信息发布；向指挥中心成员单位提供有关气象数据；分析重污染天气的气象背景，会商提出预警建议；适时开展人工增雨作业。</w:t>
            </w:r>
          </w:p>
        </w:tc>
      </w:tr>
      <w:tr>
        <w:tblPrEx>
          <w:tblCellMar>
            <w:top w:w="0" w:type="dxa"/>
            <w:left w:w="108" w:type="dxa"/>
            <w:bottom w:w="0" w:type="dxa"/>
            <w:right w:w="108" w:type="dxa"/>
          </w:tblCellMar>
        </w:tblPrEx>
        <w:trPr>
          <w:trHeight w:val="567" w:hRule="atLeast"/>
        </w:trPr>
        <w:tc>
          <w:tcPr>
            <w:tcW w:w="720" w:type="dxa"/>
            <w:tcBorders>
              <w:top w:val="single" w:color="auto" w:sz="4" w:space="0"/>
              <w:left w:val="single" w:color="auto" w:sz="4" w:space="0"/>
              <w:bottom w:val="single" w:color="auto" w:sz="4" w:space="0"/>
              <w:right w:val="single" w:color="auto" w:sz="4" w:space="0"/>
            </w:tcBorders>
            <w:noWrap/>
            <w:vAlign w:val="center"/>
          </w:tcPr>
          <w:p>
            <w:pPr>
              <w:spacing w:before="0" w:beforeLines="0" w:afterLines="0" w:line="240" w:lineRule="auto"/>
              <w:jc w:val="center"/>
              <w:rPr>
                <w:rFonts w:cs="方正仿宋_GBK"/>
                <w:b w:val="0"/>
                <w:bCs w:val="0"/>
                <w:kern w:val="0"/>
                <w:sz w:val="24"/>
              </w:rPr>
            </w:pPr>
            <w:r>
              <w:rPr>
                <w:rFonts w:hint="eastAsia" w:cs="方正仿宋_GBK"/>
                <w:b w:val="0"/>
                <w:bCs w:val="0"/>
                <w:kern w:val="0"/>
                <w:sz w:val="24"/>
              </w:rPr>
              <w:t>22</w:t>
            </w:r>
          </w:p>
        </w:tc>
        <w:tc>
          <w:tcPr>
            <w:tcW w:w="1829"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rPr>
                <w:rFonts w:hint="eastAsia" w:cs="方正仿宋_GBK"/>
                <w:b w:val="0"/>
                <w:bCs w:val="0"/>
                <w:kern w:val="0"/>
                <w:sz w:val="24"/>
              </w:rPr>
            </w:pPr>
            <w:r>
              <w:rPr>
                <w:rFonts w:hint="eastAsia" w:cs="方正仿宋_GBK"/>
                <w:b w:val="0"/>
                <w:bCs w:val="0"/>
                <w:kern w:val="0"/>
                <w:sz w:val="24"/>
              </w:rPr>
              <w:t>各街道办事处、乡（镇）人民政府</w:t>
            </w:r>
          </w:p>
        </w:tc>
        <w:tc>
          <w:tcPr>
            <w:tcW w:w="10021" w:type="dxa"/>
            <w:tcBorders>
              <w:top w:val="single" w:color="auto" w:sz="4" w:space="0"/>
              <w:left w:val="single" w:color="auto" w:sz="4" w:space="0"/>
              <w:bottom w:val="single" w:color="auto" w:sz="4" w:space="0"/>
              <w:right w:val="single" w:color="auto" w:sz="4" w:space="0"/>
            </w:tcBorders>
            <w:noWrap w:val="0"/>
            <w:vAlign w:val="center"/>
          </w:tcPr>
          <w:p>
            <w:pPr>
              <w:spacing w:before="0" w:beforeLines="0" w:afterLines="0" w:line="240" w:lineRule="auto"/>
              <w:jc w:val="both"/>
              <w:rPr>
                <w:rFonts w:hint="eastAsia" w:cs="方正仿宋_GBK"/>
                <w:b w:val="0"/>
                <w:bCs w:val="0"/>
                <w:kern w:val="0"/>
                <w:sz w:val="24"/>
              </w:rPr>
            </w:pPr>
            <w:r>
              <w:rPr>
                <w:rFonts w:hint="eastAsia" w:cs="方正仿宋_GBK"/>
                <w:b w:val="0"/>
                <w:bCs w:val="0"/>
                <w:kern w:val="0"/>
                <w:sz w:val="24"/>
                <w:szCs w:val="24"/>
              </w:rPr>
              <w:t>负责编制本行政区域（辖区）空气重污染天气应急预案；督促企业落实空气重污染天气应急</w:t>
            </w:r>
            <w:r>
              <w:rPr>
                <w:b w:val="0"/>
                <w:bCs w:val="0"/>
                <w:sz w:val="24"/>
                <w:szCs w:val="24"/>
              </w:rPr>
              <w:pict>
                <v:shape id="文本框 38" o:spid="_x0000_s1028" o:spt="202" type="#_x0000_t202" style="position:absolute;left:0pt;margin-left:-210.25pt;margin-top:219.1pt;height:83.6pt;width:42.5pt;z-index:251673600;mso-width-relative:page;mso-height-relative:page;" fillcolor="#FFFFFF" filled="t" stroked="t" coordsize="21600,21600">
                  <v:path/>
                  <v:fill on="t" focussize="0,0"/>
                  <v:stroke color="#FFFFFF"/>
                  <v:imagedata o:title=""/>
                  <o:lock v:ext="edit" aspectratio="f"/>
                  <v:textbox style="layout-flow:vertical-ideographic;">
                    <w:txbxContent>
                      <w:p>
                        <w:pPr>
                          <w:pStyle w:val="13"/>
                          <w:ind w:right="36"/>
                          <w:rPr>
                            <w:rStyle w:val="30"/>
                            <w:rFonts w:hint="eastAsia" w:ascii="宋体" w:hAnsi="宋体" w:eastAsia="宋体"/>
                            <w:sz w:val="28"/>
                            <w:szCs w:val="28"/>
                          </w:rPr>
                        </w:pPr>
                        <w:r>
                          <w:rPr>
                            <w:rStyle w:val="30"/>
                            <w:rFonts w:hint="eastAsia" w:ascii="宋体" w:hAnsi="宋体" w:eastAsia="宋体"/>
                            <w:sz w:val="28"/>
                            <w:szCs w:val="28"/>
                          </w:rPr>
                          <w:t xml:space="preserve">— </w:t>
                        </w:r>
                        <w:r>
                          <w:rPr>
                            <w:rStyle w:val="30"/>
                            <w:rFonts w:ascii="宋体" w:hAnsi="宋体" w:eastAsia="宋体"/>
                            <w:sz w:val="28"/>
                            <w:szCs w:val="28"/>
                          </w:rPr>
                          <w:fldChar w:fldCharType="begin"/>
                        </w:r>
                        <w:r>
                          <w:rPr>
                            <w:rStyle w:val="30"/>
                            <w:rFonts w:ascii="宋体" w:hAnsi="宋体" w:eastAsia="宋体"/>
                            <w:sz w:val="28"/>
                            <w:szCs w:val="28"/>
                          </w:rPr>
                          <w:instrText xml:space="preserve">PAGE  </w:instrText>
                        </w:r>
                        <w:r>
                          <w:rPr>
                            <w:rStyle w:val="30"/>
                            <w:rFonts w:ascii="宋体" w:hAnsi="宋体" w:eastAsia="宋体"/>
                            <w:sz w:val="28"/>
                            <w:szCs w:val="28"/>
                          </w:rPr>
                          <w:fldChar w:fldCharType="separate"/>
                        </w:r>
                        <w:r>
                          <w:rPr>
                            <w:rStyle w:val="30"/>
                            <w:rFonts w:ascii="宋体" w:hAnsi="宋体" w:eastAsia="宋体"/>
                            <w:sz w:val="28"/>
                            <w:szCs w:val="28"/>
                          </w:rPr>
                          <w:t>27</w:t>
                        </w:r>
                        <w:r>
                          <w:rPr>
                            <w:rStyle w:val="30"/>
                            <w:rFonts w:ascii="宋体" w:hAnsi="宋体" w:eastAsia="宋体"/>
                            <w:sz w:val="28"/>
                            <w:szCs w:val="28"/>
                          </w:rPr>
                          <w:fldChar w:fldCharType="end"/>
                        </w:r>
                        <w:r>
                          <w:rPr>
                            <w:rStyle w:val="30"/>
                            <w:rFonts w:hint="eastAsia" w:ascii="宋体" w:hAnsi="宋体" w:eastAsia="宋体"/>
                            <w:sz w:val="28"/>
                            <w:szCs w:val="28"/>
                          </w:rPr>
                          <w:t xml:space="preserve"> —</w:t>
                        </w:r>
                      </w:p>
                    </w:txbxContent>
                  </v:textbox>
                </v:shape>
              </w:pict>
            </w:r>
            <w:r>
              <w:rPr>
                <w:rFonts w:hint="eastAsia" w:cs="方正仿宋_GBK"/>
                <w:b w:val="0"/>
                <w:bCs w:val="0"/>
                <w:kern w:val="0"/>
                <w:sz w:val="24"/>
                <w:szCs w:val="24"/>
              </w:rPr>
              <w:t>管理工作各项措施；及时报送应急管理工作情况。</w:t>
            </w:r>
          </w:p>
        </w:tc>
      </w:tr>
    </w:tbl>
    <w:p>
      <w:pPr>
        <w:spacing w:before="0" w:beforeLines="0" w:afterLines="0"/>
        <w:rPr>
          <w:rFonts w:hint="eastAsia" w:eastAsia="方正黑体_GBK" w:cs="方正黑体_GBK"/>
          <w:b w:val="0"/>
          <w:bCs w:val="0"/>
          <w:szCs w:val="32"/>
        </w:rPr>
        <w:sectPr>
          <w:headerReference r:id="rId7" w:type="even"/>
          <w:pgSz w:w="16838" w:h="11906" w:orient="landscape"/>
          <w:pgMar w:top="1531" w:right="2098" w:bottom="1531" w:left="2154" w:header="851" w:footer="1134" w:gutter="0"/>
          <w:cols w:space="720" w:num="1"/>
          <w:docGrid w:type="linesAndChars" w:linePitch="589" w:charSpace="-849"/>
        </w:sectPr>
      </w:pPr>
    </w:p>
    <w:p>
      <w:pPr>
        <w:spacing w:before="0" w:beforeLines="0" w:afterLines="0" w:line="240" w:lineRule="auto"/>
        <w:rPr>
          <w:rFonts w:hint="eastAsia" w:eastAsia="方正黑体_GBK" w:cs="方正黑体_GBK"/>
          <w:b w:val="0"/>
          <w:bCs w:val="0"/>
          <w:szCs w:val="32"/>
        </w:rPr>
      </w:pPr>
      <w:r>
        <w:rPr>
          <w:rFonts w:hint="eastAsia" w:eastAsia="方正黑体_GBK" w:cs="方正黑体_GBK"/>
          <w:b w:val="0"/>
          <w:bCs w:val="0"/>
          <w:szCs w:val="32"/>
        </w:rPr>
        <w:t>附件2</w:t>
      </w:r>
    </w:p>
    <w:p>
      <w:pPr>
        <w:pStyle w:val="2"/>
        <w:snapToGrid/>
        <w:spacing w:before="0" w:beforeLines="0" w:after="0" w:line="240" w:lineRule="auto"/>
        <w:rPr>
          <w:b w:val="0"/>
          <w:bCs w:val="0"/>
          <w:lang w:val="en-US" w:eastAsia="zh-CN"/>
        </w:rPr>
      </w:pPr>
    </w:p>
    <w:p>
      <w:pPr>
        <w:spacing w:before="0" w:beforeLines="0" w:afterLines="0" w:line="240" w:lineRule="auto"/>
        <w:jc w:val="center"/>
        <w:rPr>
          <w:rFonts w:hint="eastAsia" w:eastAsia="方正小标宋_GBK" w:cs="方正小标宋_GBK"/>
          <w:b w:val="0"/>
          <w:bCs w:val="0"/>
          <w:sz w:val="44"/>
          <w:szCs w:val="44"/>
        </w:rPr>
      </w:pPr>
      <w:r>
        <w:rPr>
          <w:rFonts w:hint="eastAsia" w:eastAsia="方正小标宋_GBK" w:cs="方正小标宋_GBK"/>
          <w:b w:val="0"/>
          <w:bCs w:val="0"/>
          <w:sz w:val="44"/>
          <w:szCs w:val="44"/>
        </w:rPr>
        <w:t>重污染天气应急响应期间减排措施企业名单</w:t>
      </w:r>
    </w:p>
    <w:p>
      <w:pPr>
        <w:spacing w:before="0" w:beforeLines="0" w:afterLines="0"/>
        <w:ind w:firstLine="1059" w:firstLineChars="490"/>
        <w:rPr>
          <w:rFonts w:hint="eastAsia"/>
          <w:b w:val="0"/>
          <w:bCs w:val="0"/>
          <w:sz w:val="22"/>
          <w:szCs w:val="22"/>
        </w:rPr>
      </w:pPr>
    </w:p>
    <w:tbl>
      <w:tblPr>
        <w:tblStyle w:val="26"/>
        <w:tblW w:w="92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0"/>
        <w:gridCol w:w="1797"/>
        <w:gridCol w:w="1186"/>
        <w:gridCol w:w="1346"/>
        <w:gridCol w:w="1210"/>
        <w:gridCol w:w="1236"/>
        <w:gridCol w:w="17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50"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序号</w:t>
            </w:r>
          </w:p>
        </w:tc>
        <w:tc>
          <w:tcPr>
            <w:tcW w:w="1797"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企业名称</w:t>
            </w:r>
          </w:p>
        </w:tc>
        <w:tc>
          <w:tcPr>
            <w:tcW w:w="1186"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所属区域</w:t>
            </w:r>
          </w:p>
        </w:tc>
        <w:tc>
          <w:tcPr>
            <w:tcW w:w="1346"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详细地址</w:t>
            </w:r>
          </w:p>
        </w:tc>
        <w:tc>
          <w:tcPr>
            <w:tcW w:w="1210"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行业类别</w:t>
            </w:r>
          </w:p>
        </w:tc>
        <w:tc>
          <w:tcPr>
            <w:tcW w:w="1236"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审核类别</w:t>
            </w:r>
          </w:p>
        </w:tc>
        <w:tc>
          <w:tcPr>
            <w:tcW w:w="1709" w:type="dxa"/>
            <w:noWrap w:val="0"/>
            <w:vAlign w:val="center"/>
          </w:tcPr>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执行减排</w:t>
            </w:r>
          </w:p>
          <w:p>
            <w:pPr>
              <w:spacing w:before="0" w:beforeLines="0" w:afterLines="0" w:line="240" w:lineRule="auto"/>
              <w:rPr>
                <w:rFonts w:hint="eastAsia" w:eastAsia="方正黑体_GBK" w:cs="方正黑体_GBK"/>
                <w:b w:val="0"/>
                <w:bCs w:val="0"/>
                <w:sz w:val="24"/>
              </w:rPr>
            </w:pPr>
            <w:r>
              <w:rPr>
                <w:rFonts w:hint="eastAsia" w:eastAsia="方正黑体_GBK" w:cs="方正黑体_GBK"/>
                <w:b w:val="0"/>
                <w:bCs w:val="0"/>
                <w:sz w:val="24"/>
              </w:rPr>
              <w:t>措施情况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spacing w:before="0" w:beforeLines="0" w:afterLines="0" w:line="240" w:lineRule="auto"/>
              <w:rPr>
                <w:rFonts w:hint="eastAsia"/>
                <w:b w:val="0"/>
                <w:bCs w:val="0"/>
                <w:sz w:val="24"/>
              </w:rPr>
            </w:pPr>
            <w:r>
              <w:rPr>
                <w:rFonts w:hint="eastAsia"/>
                <w:b w:val="0"/>
                <w:bCs w:val="0"/>
                <w:sz w:val="24"/>
              </w:rPr>
              <w:t>1</w:t>
            </w:r>
          </w:p>
        </w:tc>
        <w:tc>
          <w:tcPr>
            <w:tcW w:w="1797" w:type="dxa"/>
            <w:noWrap w:val="0"/>
            <w:vAlign w:val="center"/>
          </w:tcPr>
          <w:p>
            <w:pPr>
              <w:spacing w:before="0" w:beforeLines="0" w:afterLines="0" w:line="240" w:lineRule="auto"/>
              <w:rPr>
                <w:b w:val="0"/>
                <w:bCs w:val="0"/>
                <w:sz w:val="24"/>
              </w:rPr>
            </w:pPr>
            <w:r>
              <w:rPr>
                <w:rFonts w:hint="eastAsia"/>
                <w:b w:val="0"/>
                <w:bCs w:val="0"/>
                <w:sz w:val="24"/>
              </w:rPr>
              <w:t>巫溪县玉帛石材有限公司</w:t>
            </w:r>
          </w:p>
        </w:tc>
        <w:tc>
          <w:tcPr>
            <w:tcW w:w="1186" w:type="dxa"/>
            <w:noWrap w:val="0"/>
            <w:vAlign w:val="center"/>
          </w:tcPr>
          <w:p>
            <w:pPr>
              <w:spacing w:before="0" w:beforeLines="0" w:afterLines="0" w:line="240" w:lineRule="auto"/>
              <w:rPr>
                <w:b w:val="0"/>
                <w:bCs w:val="0"/>
                <w:sz w:val="24"/>
              </w:rPr>
            </w:pPr>
            <w:r>
              <w:rPr>
                <w:rFonts w:hint="eastAsia"/>
                <w:b w:val="0"/>
                <w:bCs w:val="0"/>
                <w:sz w:val="24"/>
              </w:rPr>
              <w:t>巫溪县</w:t>
            </w:r>
          </w:p>
        </w:tc>
        <w:tc>
          <w:tcPr>
            <w:tcW w:w="1346" w:type="dxa"/>
            <w:noWrap w:val="0"/>
            <w:vAlign w:val="center"/>
          </w:tcPr>
          <w:p>
            <w:pPr>
              <w:spacing w:before="0" w:beforeLines="0" w:afterLines="0" w:line="240" w:lineRule="auto"/>
              <w:rPr>
                <w:rFonts w:hint="eastAsia"/>
                <w:b w:val="0"/>
                <w:bCs w:val="0"/>
                <w:sz w:val="24"/>
              </w:rPr>
            </w:pPr>
            <w:r>
              <w:rPr>
                <w:rFonts w:hint="eastAsia"/>
                <w:b w:val="0"/>
                <w:bCs w:val="0"/>
                <w:sz w:val="24"/>
              </w:rPr>
              <w:t>尖山镇川山村10社</w:t>
            </w:r>
          </w:p>
        </w:tc>
        <w:tc>
          <w:tcPr>
            <w:tcW w:w="1210" w:type="dxa"/>
            <w:noWrap w:val="0"/>
            <w:vAlign w:val="center"/>
          </w:tcPr>
          <w:p>
            <w:pPr>
              <w:spacing w:before="0" w:beforeLines="0" w:afterLines="0" w:line="240" w:lineRule="auto"/>
              <w:rPr>
                <w:rFonts w:hint="eastAsia"/>
                <w:b w:val="0"/>
                <w:bCs w:val="0"/>
                <w:sz w:val="24"/>
              </w:rPr>
            </w:pPr>
            <w:r>
              <w:rPr>
                <w:rFonts w:hint="eastAsia"/>
                <w:b w:val="0"/>
                <w:bCs w:val="0"/>
                <w:sz w:val="24"/>
              </w:rPr>
              <w:t>其他</w:t>
            </w:r>
          </w:p>
        </w:tc>
        <w:tc>
          <w:tcPr>
            <w:tcW w:w="1236" w:type="dxa"/>
            <w:noWrap w:val="0"/>
            <w:vAlign w:val="center"/>
          </w:tcPr>
          <w:p>
            <w:pPr>
              <w:spacing w:before="0" w:beforeLines="0" w:afterLines="0" w:line="240" w:lineRule="auto"/>
              <w:rPr>
                <w:b w:val="0"/>
                <w:bCs w:val="0"/>
                <w:sz w:val="24"/>
              </w:rPr>
            </w:pPr>
            <w:r>
              <w:rPr>
                <w:rFonts w:hint="eastAsia"/>
                <w:b w:val="0"/>
                <w:bCs w:val="0"/>
                <w:sz w:val="24"/>
              </w:rPr>
              <w:t>县级名单</w:t>
            </w:r>
          </w:p>
        </w:tc>
        <w:tc>
          <w:tcPr>
            <w:tcW w:w="1709" w:type="dxa"/>
            <w:noWrap w:val="0"/>
            <w:vAlign w:val="center"/>
          </w:tcPr>
          <w:p>
            <w:pPr>
              <w:spacing w:before="0" w:beforeLines="0" w:afterLines="0" w:line="240" w:lineRule="auto"/>
              <w:rPr>
                <w:rFonts w:hint="eastAsia"/>
                <w:b w:val="0"/>
                <w:bCs w:val="0"/>
                <w:sz w:val="24"/>
              </w:rPr>
            </w:pPr>
            <w:r>
              <w:rPr>
                <w:rFonts w:hint="eastAsia"/>
                <w:b w:val="0"/>
                <w:bCs w:val="0"/>
                <w:sz w:val="24"/>
              </w:rPr>
              <w:t>涉气工序停产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spacing w:before="0" w:beforeLines="0" w:afterLines="0" w:line="240" w:lineRule="auto"/>
              <w:rPr>
                <w:b w:val="0"/>
                <w:bCs w:val="0"/>
                <w:sz w:val="24"/>
              </w:rPr>
            </w:pPr>
            <w:r>
              <w:rPr>
                <w:rFonts w:hint="eastAsia"/>
                <w:b w:val="0"/>
                <w:bCs w:val="0"/>
                <w:sz w:val="24"/>
              </w:rPr>
              <w:t>2</w:t>
            </w:r>
          </w:p>
        </w:tc>
        <w:tc>
          <w:tcPr>
            <w:tcW w:w="1797" w:type="dxa"/>
            <w:noWrap w:val="0"/>
            <w:vAlign w:val="center"/>
          </w:tcPr>
          <w:p>
            <w:pPr>
              <w:spacing w:before="0" w:beforeLines="0" w:afterLines="0" w:line="240" w:lineRule="auto"/>
              <w:rPr>
                <w:rFonts w:hint="eastAsia"/>
                <w:b w:val="0"/>
                <w:bCs w:val="0"/>
                <w:sz w:val="24"/>
              </w:rPr>
            </w:pPr>
            <w:r>
              <w:rPr>
                <w:rFonts w:hint="eastAsia"/>
                <w:b w:val="0"/>
                <w:bCs w:val="0"/>
                <w:sz w:val="24"/>
              </w:rPr>
              <w:t>重庆市渝溪产业（集团）有限公司</w:t>
            </w:r>
          </w:p>
        </w:tc>
        <w:tc>
          <w:tcPr>
            <w:tcW w:w="1186"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1346" w:type="dxa"/>
            <w:noWrap w:val="0"/>
            <w:vAlign w:val="center"/>
          </w:tcPr>
          <w:p>
            <w:pPr>
              <w:spacing w:before="0" w:beforeLines="0" w:afterLines="0" w:line="240" w:lineRule="auto"/>
              <w:rPr>
                <w:rFonts w:hint="eastAsia"/>
                <w:b w:val="0"/>
                <w:bCs w:val="0"/>
                <w:sz w:val="24"/>
              </w:rPr>
            </w:pPr>
            <w:r>
              <w:rPr>
                <w:rFonts w:hint="eastAsia"/>
                <w:b w:val="0"/>
                <w:bCs w:val="0"/>
                <w:sz w:val="24"/>
              </w:rPr>
              <w:t>城厢镇白新社区</w:t>
            </w:r>
          </w:p>
        </w:tc>
        <w:tc>
          <w:tcPr>
            <w:tcW w:w="1210" w:type="dxa"/>
            <w:noWrap w:val="0"/>
            <w:vAlign w:val="center"/>
          </w:tcPr>
          <w:p>
            <w:pPr>
              <w:spacing w:before="0" w:beforeLines="0" w:afterLines="0" w:line="240" w:lineRule="auto"/>
              <w:rPr>
                <w:rFonts w:hint="eastAsia"/>
                <w:b w:val="0"/>
                <w:bCs w:val="0"/>
                <w:sz w:val="24"/>
              </w:rPr>
            </w:pPr>
            <w:r>
              <w:rPr>
                <w:rFonts w:hint="eastAsia"/>
                <w:b w:val="0"/>
                <w:bCs w:val="0"/>
                <w:sz w:val="24"/>
              </w:rPr>
              <w:t>水泥</w:t>
            </w:r>
          </w:p>
        </w:tc>
        <w:tc>
          <w:tcPr>
            <w:tcW w:w="1236" w:type="dxa"/>
            <w:noWrap w:val="0"/>
            <w:vAlign w:val="center"/>
          </w:tcPr>
          <w:p>
            <w:pPr>
              <w:spacing w:before="0" w:beforeLines="0" w:afterLines="0" w:line="240" w:lineRule="auto"/>
              <w:rPr>
                <w:rFonts w:hint="eastAsia"/>
                <w:b w:val="0"/>
                <w:bCs w:val="0"/>
                <w:sz w:val="24"/>
              </w:rPr>
            </w:pPr>
            <w:r>
              <w:rPr>
                <w:rFonts w:hint="eastAsia"/>
                <w:b w:val="0"/>
                <w:bCs w:val="0"/>
                <w:sz w:val="24"/>
              </w:rPr>
              <w:t>县级名单</w:t>
            </w:r>
          </w:p>
        </w:tc>
        <w:tc>
          <w:tcPr>
            <w:tcW w:w="1709" w:type="dxa"/>
            <w:noWrap w:val="0"/>
            <w:vAlign w:val="center"/>
          </w:tcPr>
          <w:p>
            <w:pPr>
              <w:spacing w:before="0" w:beforeLines="0" w:afterLines="0" w:line="240" w:lineRule="auto"/>
              <w:rPr>
                <w:rFonts w:hint="eastAsia"/>
                <w:b w:val="0"/>
                <w:bCs w:val="0"/>
                <w:sz w:val="24"/>
              </w:rPr>
            </w:pPr>
            <w:r>
              <w:rPr>
                <w:rFonts w:hint="eastAsia"/>
                <w:b w:val="0"/>
                <w:bCs w:val="0"/>
                <w:sz w:val="24"/>
              </w:rPr>
              <w:t>非绩效引领性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spacing w:before="0" w:beforeLines="0" w:afterLines="0" w:line="240" w:lineRule="auto"/>
              <w:rPr>
                <w:b w:val="0"/>
                <w:bCs w:val="0"/>
                <w:sz w:val="24"/>
              </w:rPr>
            </w:pPr>
            <w:r>
              <w:rPr>
                <w:rFonts w:hint="eastAsia"/>
                <w:b w:val="0"/>
                <w:bCs w:val="0"/>
                <w:sz w:val="24"/>
              </w:rPr>
              <w:t>3</w:t>
            </w:r>
          </w:p>
        </w:tc>
        <w:tc>
          <w:tcPr>
            <w:tcW w:w="1797" w:type="dxa"/>
            <w:noWrap w:val="0"/>
            <w:vAlign w:val="center"/>
          </w:tcPr>
          <w:p>
            <w:pPr>
              <w:spacing w:before="0" w:beforeLines="0" w:afterLines="0" w:line="240" w:lineRule="auto"/>
              <w:rPr>
                <w:rFonts w:hint="eastAsia"/>
                <w:b w:val="0"/>
                <w:bCs w:val="0"/>
                <w:sz w:val="24"/>
              </w:rPr>
            </w:pPr>
            <w:r>
              <w:rPr>
                <w:rFonts w:hint="eastAsia"/>
                <w:b w:val="0"/>
                <w:bCs w:val="0"/>
                <w:sz w:val="24"/>
              </w:rPr>
              <w:t>巫溪县瑞祥采石有限责任公司</w:t>
            </w:r>
          </w:p>
        </w:tc>
        <w:tc>
          <w:tcPr>
            <w:tcW w:w="1186"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1346" w:type="dxa"/>
            <w:noWrap w:val="0"/>
            <w:vAlign w:val="center"/>
          </w:tcPr>
          <w:p>
            <w:pPr>
              <w:spacing w:before="0" w:beforeLines="0" w:afterLines="0" w:line="240" w:lineRule="auto"/>
              <w:rPr>
                <w:rFonts w:hint="eastAsia"/>
                <w:b w:val="0"/>
                <w:bCs w:val="0"/>
                <w:sz w:val="24"/>
              </w:rPr>
            </w:pPr>
            <w:r>
              <w:rPr>
                <w:rFonts w:hint="eastAsia"/>
                <w:b w:val="0"/>
                <w:bCs w:val="0"/>
                <w:sz w:val="24"/>
              </w:rPr>
              <w:t>尖山镇大包村委会</w:t>
            </w:r>
          </w:p>
        </w:tc>
        <w:tc>
          <w:tcPr>
            <w:tcW w:w="1210" w:type="dxa"/>
            <w:noWrap w:val="0"/>
            <w:vAlign w:val="center"/>
          </w:tcPr>
          <w:p>
            <w:pPr>
              <w:spacing w:before="0" w:beforeLines="0" w:afterLines="0" w:line="240" w:lineRule="auto"/>
              <w:rPr>
                <w:rFonts w:hint="eastAsia"/>
                <w:b w:val="0"/>
                <w:bCs w:val="0"/>
                <w:sz w:val="24"/>
              </w:rPr>
            </w:pPr>
            <w:r>
              <w:rPr>
                <w:rFonts w:hint="eastAsia"/>
                <w:b w:val="0"/>
                <w:bCs w:val="0"/>
                <w:sz w:val="24"/>
              </w:rPr>
              <w:t>其他</w:t>
            </w:r>
          </w:p>
        </w:tc>
        <w:tc>
          <w:tcPr>
            <w:tcW w:w="1236" w:type="dxa"/>
            <w:noWrap w:val="0"/>
            <w:vAlign w:val="center"/>
          </w:tcPr>
          <w:p>
            <w:pPr>
              <w:spacing w:before="0" w:beforeLines="0" w:afterLines="0" w:line="240" w:lineRule="auto"/>
              <w:rPr>
                <w:rFonts w:hint="eastAsia"/>
                <w:b w:val="0"/>
                <w:bCs w:val="0"/>
                <w:sz w:val="24"/>
              </w:rPr>
            </w:pPr>
            <w:r>
              <w:rPr>
                <w:rFonts w:hint="eastAsia"/>
                <w:b w:val="0"/>
                <w:bCs w:val="0"/>
                <w:sz w:val="24"/>
              </w:rPr>
              <w:t>县级名单</w:t>
            </w:r>
          </w:p>
        </w:tc>
        <w:tc>
          <w:tcPr>
            <w:tcW w:w="1709" w:type="dxa"/>
            <w:noWrap w:val="0"/>
            <w:vAlign w:val="center"/>
          </w:tcPr>
          <w:p>
            <w:pPr>
              <w:spacing w:before="0" w:beforeLines="0" w:afterLines="0" w:line="240" w:lineRule="auto"/>
              <w:rPr>
                <w:rFonts w:hint="eastAsia"/>
                <w:b w:val="0"/>
                <w:bCs w:val="0"/>
                <w:sz w:val="24"/>
              </w:rPr>
            </w:pPr>
            <w:r>
              <w:rPr>
                <w:rFonts w:hint="eastAsia"/>
                <w:b w:val="0"/>
                <w:bCs w:val="0"/>
                <w:sz w:val="24"/>
              </w:rPr>
              <w:t>涉气工序停产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spacing w:before="0" w:beforeLines="0" w:afterLines="0" w:line="240" w:lineRule="auto"/>
              <w:rPr>
                <w:b w:val="0"/>
                <w:bCs w:val="0"/>
                <w:sz w:val="24"/>
              </w:rPr>
            </w:pPr>
            <w:r>
              <w:rPr>
                <w:rFonts w:hint="eastAsia"/>
                <w:b w:val="0"/>
                <w:bCs w:val="0"/>
                <w:sz w:val="24"/>
              </w:rPr>
              <w:t>4</w:t>
            </w:r>
          </w:p>
        </w:tc>
        <w:tc>
          <w:tcPr>
            <w:tcW w:w="1797" w:type="dxa"/>
            <w:noWrap w:val="0"/>
            <w:vAlign w:val="center"/>
          </w:tcPr>
          <w:p>
            <w:pPr>
              <w:spacing w:before="0" w:beforeLines="0" w:afterLines="0" w:line="240" w:lineRule="auto"/>
              <w:rPr>
                <w:rFonts w:hint="eastAsia"/>
                <w:b w:val="0"/>
                <w:bCs w:val="0"/>
                <w:sz w:val="24"/>
              </w:rPr>
            </w:pPr>
            <w:r>
              <w:rPr>
                <w:rFonts w:hint="eastAsia"/>
                <w:b w:val="0"/>
                <w:bCs w:val="0"/>
                <w:sz w:val="24"/>
              </w:rPr>
              <w:t>巫溪县淼贸建材销售有限公司</w:t>
            </w:r>
          </w:p>
        </w:tc>
        <w:tc>
          <w:tcPr>
            <w:tcW w:w="1186"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1346" w:type="dxa"/>
            <w:noWrap w:val="0"/>
            <w:vAlign w:val="center"/>
          </w:tcPr>
          <w:p>
            <w:pPr>
              <w:spacing w:before="0" w:beforeLines="0" w:afterLines="0" w:line="240" w:lineRule="auto"/>
              <w:rPr>
                <w:rFonts w:hint="eastAsia"/>
                <w:b w:val="0"/>
                <w:bCs w:val="0"/>
                <w:sz w:val="24"/>
              </w:rPr>
            </w:pPr>
            <w:r>
              <w:rPr>
                <w:rFonts w:hint="eastAsia"/>
                <w:b w:val="0"/>
                <w:bCs w:val="0"/>
                <w:sz w:val="24"/>
              </w:rPr>
              <w:t>土城镇和平村委会2社</w:t>
            </w:r>
          </w:p>
        </w:tc>
        <w:tc>
          <w:tcPr>
            <w:tcW w:w="1210" w:type="dxa"/>
            <w:noWrap w:val="0"/>
            <w:vAlign w:val="center"/>
          </w:tcPr>
          <w:p>
            <w:pPr>
              <w:spacing w:before="0" w:beforeLines="0" w:afterLines="0" w:line="240" w:lineRule="auto"/>
              <w:rPr>
                <w:rFonts w:hint="eastAsia"/>
                <w:b w:val="0"/>
                <w:bCs w:val="0"/>
                <w:sz w:val="24"/>
              </w:rPr>
            </w:pPr>
            <w:r>
              <w:rPr>
                <w:rFonts w:hint="eastAsia"/>
                <w:b w:val="0"/>
                <w:bCs w:val="0"/>
                <w:sz w:val="24"/>
              </w:rPr>
              <w:t>其他</w:t>
            </w:r>
          </w:p>
        </w:tc>
        <w:tc>
          <w:tcPr>
            <w:tcW w:w="1236" w:type="dxa"/>
            <w:noWrap w:val="0"/>
            <w:vAlign w:val="center"/>
          </w:tcPr>
          <w:p>
            <w:pPr>
              <w:spacing w:before="0" w:beforeLines="0" w:afterLines="0" w:line="240" w:lineRule="auto"/>
              <w:rPr>
                <w:rFonts w:hint="eastAsia"/>
                <w:b w:val="0"/>
                <w:bCs w:val="0"/>
                <w:sz w:val="24"/>
              </w:rPr>
            </w:pPr>
            <w:r>
              <w:rPr>
                <w:rFonts w:hint="eastAsia"/>
                <w:b w:val="0"/>
                <w:bCs w:val="0"/>
                <w:sz w:val="24"/>
              </w:rPr>
              <w:t>县级名单</w:t>
            </w:r>
          </w:p>
        </w:tc>
        <w:tc>
          <w:tcPr>
            <w:tcW w:w="1709" w:type="dxa"/>
            <w:noWrap w:val="0"/>
            <w:vAlign w:val="center"/>
          </w:tcPr>
          <w:p>
            <w:pPr>
              <w:spacing w:before="0" w:beforeLines="0" w:afterLines="0" w:line="240" w:lineRule="auto"/>
              <w:rPr>
                <w:rFonts w:hint="eastAsia"/>
                <w:b w:val="0"/>
                <w:bCs w:val="0"/>
                <w:sz w:val="24"/>
              </w:rPr>
            </w:pPr>
            <w:r>
              <w:rPr>
                <w:rFonts w:hint="eastAsia"/>
                <w:b w:val="0"/>
                <w:bCs w:val="0"/>
                <w:sz w:val="24"/>
              </w:rPr>
              <w:t>涉气工序停产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50" w:type="dxa"/>
            <w:noWrap w:val="0"/>
            <w:vAlign w:val="center"/>
          </w:tcPr>
          <w:p>
            <w:pPr>
              <w:spacing w:before="0" w:beforeLines="0" w:afterLines="0" w:line="240" w:lineRule="auto"/>
              <w:rPr>
                <w:b w:val="0"/>
                <w:bCs w:val="0"/>
                <w:sz w:val="24"/>
              </w:rPr>
            </w:pPr>
            <w:r>
              <w:rPr>
                <w:rFonts w:hint="eastAsia"/>
                <w:b w:val="0"/>
                <w:bCs w:val="0"/>
                <w:sz w:val="24"/>
              </w:rPr>
              <w:t>5</w:t>
            </w:r>
          </w:p>
        </w:tc>
        <w:tc>
          <w:tcPr>
            <w:tcW w:w="1797" w:type="dxa"/>
            <w:noWrap w:val="0"/>
            <w:vAlign w:val="center"/>
          </w:tcPr>
          <w:p>
            <w:pPr>
              <w:spacing w:before="0" w:beforeLines="0" w:afterLines="0" w:line="240" w:lineRule="auto"/>
              <w:rPr>
                <w:rFonts w:hint="eastAsia"/>
                <w:b w:val="0"/>
                <w:bCs w:val="0"/>
                <w:sz w:val="24"/>
              </w:rPr>
            </w:pPr>
            <w:r>
              <w:rPr>
                <w:rFonts w:hint="eastAsia"/>
                <w:b w:val="0"/>
                <w:bCs w:val="0"/>
                <w:sz w:val="24"/>
              </w:rPr>
              <w:t>巫溪县永创预制构件厂</w:t>
            </w:r>
          </w:p>
        </w:tc>
        <w:tc>
          <w:tcPr>
            <w:tcW w:w="1186"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1346" w:type="dxa"/>
            <w:noWrap w:val="0"/>
            <w:vAlign w:val="center"/>
          </w:tcPr>
          <w:p>
            <w:pPr>
              <w:spacing w:before="0" w:beforeLines="0" w:afterLines="0" w:line="240" w:lineRule="auto"/>
              <w:rPr>
                <w:rFonts w:hint="eastAsia"/>
                <w:b w:val="0"/>
                <w:bCs w:val="0"/>
                <w:sz w:val="24"/>
              </w:rPr>
            </w:pPr>
            <w:r>
              <w:rPr>
                <w:rFonts w:hint="eastAsia"/>
                <w:b w:val="0"/>
                <w:bCs w:val="0"/>
                <w:sz w:val="24"/>
              </w:rPr>
              <w:t>土城镇坪阳村委会3社</w:t>
            </w:r>
          </w:p>
        </w:tc>
        <w:tc>
          <w:tcPr>
            <w:tcW w:w="1210" w:type="dxa"/>
            <w:noWrap w:val="0"/>
            <w:vAlign w:val="center"/>
          </w:tcPr>
          <w:p>
            <w:pPr>
              <w:spacing w:before="0" w:beforeLines="0" w:afterLines="0" w:line="240" w:lineRule="auto"/>
              <w:rPr>
                <w:rFonts w:hint="eastAsia"/>
                <w:b w:val="0"/>
                <w:bCs w:val="0"/>
                <w:sz w:val="24"/>
              </w:rPr>
            </w:pPr>
            <w:r>
              <w:rPr>
                <w:rFonts w:hint="eastAsia"/>
                <w:b w:val="0"/>
                <w:bCs w:val="0"/>
                <w:sz w:val="24"/>
              </w:rPr>
              <w:t>其他</w:t>
            </w:r>
          </w:p>
        </w:tc>
        <w:tc>
          <w:tcPr>
            <w:tcW w:w="1236" w:type="dxa"/>
            <w:noWrap w:val="0"/>
            <w:vAlign w:val="center"/>
          </w:tcPr>
          <w:p>
            <w:pPr>
              <w:spacing w:before="0" w:beforeLines="0" w:afterLines="0" w:line="240" w:lineRule="auto"/>
              <w:rPr>
                <w:rFonts w:hint="eastAsia"/>
                <w:b w:val="0"/>
                <w:bCs w:val="0"/>
                <w:sz w:val="24"/>
              </w:rPr>
            </w:pPr>
            <w:r>
              <w:rPr>
                <w:rFonts w:hint="eastAsia"/>
                <w:b w:val="0"/>
                <w:bCs w:val="0"/>
                <w:sz w:val="24"/>
              </w:rPr>
              <w:t>县级名单</w:t>
            </w:r>
          </w:p>
        </w:tc>
        <w:tc>
          <w:tcPr>
            <w:tcW w:w="1709" w:type="dxa"/>
            <w:noWrap w:val="0"/>
            <w:vAlign w:val="center"/>
          </w:tcPr>
          <w:p>
            <w:pPr>
              <w:spacing w:before="0" w:beforeLines="0" w:afterLines="0" w:line="240" w:lineRule="auto"/>
              <w:rPr>
                <w:rFonts w:hint="eastAsia"/>
                <w:b w:val="0"/>
                <w:bCs w:val="0"/>
                <w:sz w:val="24"/>
              </w:rPr>
            </w:pPr>
            <w:r>
              <w:rPr>
                <w:rFonts w:hint="eastAsia"/>
                <w:b w:val="0"/>
                <w:bCs w:val="0"/>
                <w:sz w:val="24"/>
              </w:rPr>
              <w:t>涉气工序停产</w:t>
            </w:r>
          </w:p>
        </w:tc>
      </w:tr>
    </w:tbl>
    <w:p>
      <w:pPr>
        <w:spacing w:before="0" w:beforeLines="0" w:afterLines="0"/>
        <w:rPr>
          <w:rFonts w:hint="eastAsia" w:eastAsia="方正黑体_GBK" w:cs="方正黑体_GBK"/>
          <w:b w:val="0"/>
          <w:bCs w:val="0"/>
          <w:szCs w:val="32"/>
        </w:rPr>
      </w:pPr>
    </w:p>
    <w:p>
      <w:pPr>
        <w:spacing w:before="0" w:beforeLines="0" w:afterLines="0"/>
        <w:rPr>
          <w:rFonts w:hint="eastAsia" w:eastAsia="方正黑体_GBK" w:cs="方正黑体_GBK"/>
          <w:b w:val="0"/>
          <w:bCs w:val="0"/>
          <w:szCs w:val="32"/>
        </w:rPr>
      </w:pPr>
    </w:p>
    <w:p>
      <w:pPr>
        <w:spacing w:before="0" w:beforeLines="0" w:afterLines="0"/>
        <w:rPr>
          <w:rFonts w:hint="eastAsia" w:eastAsia="方正黑体_GBK" w:cs="方正黑体_GBK"/>
          <w:b w:val="0"/>
          <w:bCs w:val="0"/>
          <w:szCs w:val="32"/>
        </w:rPr>
      </w:pPr>
    </w:p>
    <w:p>
      <w:pPr>
        <w:spacing w:before="0" w:beforeLines="0" w:afterLines="0"/>
        <w:rPr>
          <w:rFonts w:hint="eastAsia" w:eastAsia="方正黑体_GBK" w:cs="方正黑体_GBK"/>
          <w:b w:val="0"/>
          <w:bCs w:val="0"/>
          <w:szCs w:val="32"/>
        </w:rPr>
      </w:pPr>
    </w:p>
    <w:p>
      <w:pPr>
        <w:spacing w:before="0" w:beforeLines="0" w:afterLines="0"/>
        <w:rPr>
          <w:rFonts w:hint="eastAsia" w:eastAsia="方正黑体_GBK" w:cs="方正黑体_GBK"/>
          <w:b w:val="0"/>
          <w:bCs w:val="0"/>
          <w:szCs w:val="32"/>
        </w:rPr>
      </w:pPr>
    </w:p>
    <w:p>
      <w:pPr>
        <w:spacing w:before="0" w:beforeLines="0" w:afterLines="0"/>
        <w:rPr>
          <w:rFonts w:hint="eastAsia" w:eastAsia="方正黑体_GBK" w:cs="方正黑体_GBK"/>
          <w:b w:val="0"/>
          <w:bCs w:val="0"/>
          <w:szCs w:val="32"/>
        </w:rPr>
      </w:pPr>
    </w:p>
    <w:p>
      <w:pPr>
        <w:spacing w:before="0" w:beforeLines="0" w:afterLines="0"/>
        <w:rPr>
          <w:rFonts w:hint="eastAsia" w:eastAsia="方正黑体_GBK" w:cs="方正黑体_GBK"/>
          <w:b w:val="0"/>
          <w:bCs w:val="0"/>
          <w:szCs w:val="32"/>
        </w:rPr>
      </w:pPr>
    </w:p>
    <w:p>
      <w:pPr>
        <w:spacing w:before="0" w:beforeLines="0" w:afterLines="0" w:line="240" w:lineRule="auto"/>
        <w:rPr>
          <w:rFonts w:eastAsia="方正黑体_GBK" w:cs="方正黑体_GBK"/>
          <w:b w:val="0"/>
          <w:bCs w:val="0"/>
          <w:szCs w:val="32"/>
        </w:rPr>
      </w:pPr>
      <w:r>
        <w:rPr>
          <w:rFonts w:hint="eastAsia" w:eastAsia="方正黑体_GBK" w:cs="方正黑体_GBK"/>
          <w:b w:val="0"/>
          <w:bCs w:val="0"/>
          <w:szCs w:val="32"/>
        </w:rPr>
        <w:t>附件3</w:t>
      </w:r>
    </w:p>
    <w:p>
      <w:pPr>
        <w:pStyle w:val="2"/>
        <w:adjustRightInd/>
        <w:snapToGrid/>
        <w:spacing w:before="0" w:beforeLines="0" w:after="0" w:line="240" w:lineRule="auto"/>
        <w:rPr>
          <w:b w:val="0"/>
          <w:bCs w:val="0"/>
          <w:lang w:val="en-US" w:eastAsia="zh-CN"/>
        </w:rPr>
      </w:pPr>
    </w:p>
    <w:p>
      <w:pPr>
        <w:spacing w:before="0" w:beforeLines="0" w:afterLines="0" w:line="240" w:lineRule="auto"/>
        <w:rPr>
          <w:rFonts w:hint="eastAsia" w:eastAsia="方正小标宋_GBK" w:cs="方正小标宋_GBK"/>
          <w:b w:val="0"/>
          <w:bCs w:val="0"/>
          <w:spacing w:val="-11"/>
          <w:sz w:val="44"/>
          <w:szCs w:val="44"/>
        </w:rPr>
      </w:pPr>
      <w:r>
        <w:rPr>
          <w:rFonts w:hint="eastAsia" w:eastAsia="方正小标宋_GBK" w:cs="方正小标宋_GBK"/>
          <w:b w:val="0"/>
          <w:bCs w:val="0"/>
          <w:spacing w:val="-11"/>
          <w:sz w:val="44"/>
          <w:szCs w:val="44"/>
        </w:rPr>
        <w:t>重污染天气应急响应期间减排措施施工工地名单</w:t>
      </w:r>
    </w:p>
    <w:tbl>
      <w:tblPr>
        <w:tblStyle w:val="26"/>
        <w:tblW w:w="90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2460"/>
        <w:gridCol w:w="1179"/>
        <w:gridCol w:w="2202"/>
        <w:gridCol w:w="23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rFonts w:hint="eastAsia" w:eastAsia="方正黑体_GBK" w:cs="方正黑体_GBK"/>
                <w:b w:val="0"/>
                <w:bCs w:val="0"/>
                <w:sz w:val="24"/>
              </w:rPr>
            </w:pPr>
            <w:r>
              <w:rPr>
                <w:rFonts w:hint="eastAsia" w:eastAsia="方正黑体_GBK" w:cs="方正黑体_GBK"/>
                <w:b w:val="0"/>
                <w:bCs w:val="0"/>
                <w:sz w:val="24"/>
              </w:rPr>
              <w:t>序号</w:t>
            </w:r>
          </w:p>
        </w:tc>
        <w:tc>
          <w:tcPr>
            <w:tcW w:w="2460" w:type="dxa"/>
            <w:noWrap w:val="0"/>
            <w:vAlign w:val="center"/>
          </w:tcPr>
          <w:p>
            <w:pPr>
              <w:spacing w:before="0" w:beforeLines="0" w:afterLines="0" w:line="240" w:lineRule="auto"/>
              <w:jc w:val="center"/>
              <w:rPr>
                <w:rFonts w:hint="eastAsia" w:eastAsia="方正黑体_GBK" w:cs="方正黑体_GBK"/>
                <w:b w:val="0"/>
                <w:bCs w:val="0"/>
                <w:sz w:val="24"/>
              </w:rPr>
            </w:pPr>
            <w:r>
              <w:rPr>
                <w:rFonts w:hint="eastAsia" w:eastAsia="方正黑体_GBK" w:cs="方正黑体_GBK"/>
                <w:b w:val="0"/>
                <w:bCs w:val="0"/>
                <w:sz w:val="24"/>
              </w:rPr>
              <w:t>工地名称</w:t>
            </w:r>
          </w:p>
        </w:tc>
        <w:tc>
          <w:tcPr>
            <w:tcW w:w="1179" w:type="dxa"/>
            <w:noWrap w:val="0"/>
            <w:vAlign w:val="center"/>
          </w:tcPr>
          <w:p>
            <w:pPr>
              <w:spacing w:before="0" w:beforeLines="0" w:afterLines="0" w:line="240" w:lineRule="auto"/>
              <w:jc w:val="center"/>
              <w:rPr>
                <w:rFonts w:hint="eastAsia" w:eastAsia="方正黑体_GBK" w:cs="方正黑体_GBK"/>
                <w:b w:val="0"/>
                <w:bCs w:val="0"/>
                <w:sz w:val="24"/>
              </w:rPr>
            </w:pPr>
            <w:r>
              <w:rPr>
                <w:rFonts w:hint="eastAsia" w:eastAsia="方正黑体_GBK" w:cs="方正黑体_GBK"/>
                <w:b w:val="0"/>
                <w:bCs w:val="0"/>
                <w:sz w:val="24"/>
              </w:rPr>
              <w:t>所属区域</w:t>
            </w:r>
          </w:p>
        </w:tc>
        <w:tc>
          <w:tcPr>
            <w:tcW w:w="2202" w:type="dxa"/>
            <w:noWrap w:val="0"/>
            <w:vAlign w:val="center"/>
          </w:tcPr>
          <w:p>
            <w:pPr>
              <w:spacing w:before="0" w:beforeLines="0" w:afterLines="0" w:line="240" w:lineRule="auto"/>
              <w:jc w:val="center"/>
              <w:rPr>
                <w:rFonts w:hint="eastAsia" w:eastAsia="方正黑体_GBK" w:cs="方正黑体_GBK"/>
                <w:b w:val="0"/>
                <w:bCs w:val="0"/>
                <w:sz w:val="24"/>
              </w:rPr>
            </w:pPr>
            <w:r>
              <w:rPr>
                <w:rFonts w:hint="eastAsia" w:eastAsia="方正黑体_GBK" w:cs="方正黑体_GBK"/>
                <w:b w:val="0"/>
                <w:bCs w:val="0"/>
                <w:sz w:val="24"/>
              </w:rPr>
              <w:t>详细地址</w:t>
            </w:r>
          </w:p>
        </w:tc>
        <w:tc>
          <w:tcPr>
            <w:tcW w:w="2329" w:type="dxa"/>
            <w:noWrap w:val="0"/>
            <w:vAlign w:val="center"/>
          </w:tcPr>
          <w:p>
            <w:pPr>
              <w:spacing w:before="0" w:beforeLines="0" w:afterLines="0" w:line="240" w:lineRule="auto"/>
              <w:jc w:val="center"/>
              <w:rPr>
                <w:rFonts w:hint="eastAsia" w:eastAsia="方正黑体_GBK" w:cs="方正黑体_GBK"/>
                <w:b w:val="0"/>
                <w:bCs w:val="0"/>
                <w:sz w:val="24"/>
              </w:rPr>
            </w:pPr>
            <w:r>
              <w:rPr>
                <w:rFonts w:hint="eastAsia" w:eastAsia="方正黑体_GBK" w:cs="方正黑体_GBK"/>
                <w:b w:val="0"/>
                <w:bCs w:val="0"/>
                <w:sz w:val="24"/>
              </w:rPr>
              <w:t>执行减排</w:t>
            </w:r>
          </w:p>
          <w:p>
            <w:pPr>
              <w:spacing w:before="0" w:beforeLines="0" w:afterLines="0" w:line="240" w:lineRule="auto"/>
              <w:jc w:val="center"/>
              <w:rPr>
                <w:rFonts w:hint="eastAsia" w:eastAsia="方正黑体_GBK" w:cs="方正黑体_GBK"/>
                <w:b w:val="0"/>
                <w:bCs w:val="0"/>
                <w:sz w:val="24"/>
              </w:rPr>
            </w:pPr>
            <w:r>
              <w:rPr>
                <w:rFonts w:hint="eastAsia" w:eastAsia="方正黑体_GBK" w:cs="方正黑体_GBK"/>
                <w:b w:val="0"/>
                <w:bCs w:val="0"/>
                <w:sz w:val="24"/>
              </w:rPr>
              <w:t>措施情况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1</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海成</w:t>
            </w:r>
            <w:r>
              <w:rPr>
                <w:b w:val="0"/>
                <w:bCs w:val="0"/>
                <w:sz w:val="24"/>
              </w:rPr>
              <w:t>·</w:t>
            </w:r>
            <w:r>
              <w:rPr>
                <w:rFonts w:hint="eastAsia"/>
                <w:b w:val="0"/>
                <w:bCs w:val="0"/>
                <w:sz w:val="24"/>
              </w:rPr>
              <w:t>云著</w:t>
            </w:r>
          </w:p>
        </w:tc>
        <w:tc>
          <w:tcPr>
            <w:tcW w:w="1179" w:type="dxa"/>
            <w:noWrap w:val="0"/>
            <w:vAlign w:val="center"/>
          </w:tcPr>
          <w:p>
            <w:pPr>
              <w:spacing w:before="0" w:beforeLines="0" w:afterLines="0" w:line="240" w:lineRule="auto"/>
              <w:rPr>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北井大道碧桂园旁</w:t>
            </w:r>
          </w:p>
        </w:tc>
        <w:tc>
          <w:tcPr>
            <w:tcW w:w="2329" w:type="dxa"/>
            <w:noWrap w:val="0"/>
            <w:vAlign w:val="center"/>
          </w:tcPr>
          <w:p>
            <w:pPr>
              <w:spacing w:before="0" w:beforeLines="0" w:afterLines="0" w:line="240" w:lineRule="auto"/>
              <w:rPr>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2</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海成</w:t>
            </w:r>
            <w:r>
              <w:rPr>
                <w:b w:val="0"/>
                <w:bCs w:val="0"/>
                <w:sz w:val="24"/>
              </w:rPr>
              <w:t>·</w:t>
            </w:r>
            <w:r>
              <w:rPr>
                <w:rFonts w:hint="eastAsia"/>
                <w:b w:val="0"/>
                <w:bCs w:val="0"/>
                <w:sz w:val="24"/>
              </w:rPr>
              <w:t>公园里</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马镇坝滨河南路</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3</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白马大道二标</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马镇坝滨河南路</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4</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白马大道三标</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马镇坝滨河南路</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5</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飞洋</w:t>
            </w:r>
            <w:r>
              <w:rPr>
                <w:b w:val="0"/>
                <w:bCs w:val="0"/>
                <w:sz w:val="24"/>
              </w:rPr>
              <w:t>·</w:t>
            </w:r>
            <w:r>
              <w:rPr>
                <w:rFonts w:hint="eastAsia"/>
                <w:b w:val="0"/>
                <w:bCs w:val="0"/>
                <w:sz w:val="24"/>
              </w:rPr>
              <w:t>华府（二期）</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气象局旁</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6</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海成</w:t>
            </w:r>
            <w:r>
              <w:rPr>
                <w:b w:val="0"/>
                <w:bCs w:val="0"/>
                <w:sz w:val="24"/>
              </w:rPr>
              <w:t>·</w:t>
            </w:r>
            <w:r>
              <w:rPr>
                <w:rFonts w:hint="eastAsia"/>
                <w:b w:val="0"/>
                <w:bCs w:val="0"/>
                <w:sz w:val="24"/>
              </w:rPr>
              <w:t>公园里</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滨河南路</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7</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渝陕鄂边贸物流园区先锋大院安置房二期工程</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前进桥先锋小学旁</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8</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巫溪县马镇坝第七统建安置房（一期）</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白马中学旁</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9</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巫溪县第三人民医院</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通城镇卫生院旁</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10</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通城镇龙池村便民服务综合体项目建设</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通城镇龙池村</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11</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巫溪县中医院二期养护中心综合大楼</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中医院后面</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 w:hRule="atLeast"/>
          <w:jc w:val="center"/>
        </w:trPr>
        <w:tc>
          <w:tcPr>
            <w:tcW w:w="848" w:type="dxa"/>
            <w:noWrap w:val="0"/>
            <w:vAlign w:val="center"/>
          </w:tcPr>
          <w:p>
            <w:pPr>
              <w:spacing w:before="0" w:beforeLines="0" w:afterLines="0" w:line="240" w:lineRule="auto"/>
              <w:jc w:val="center"/>
              <w:rPr>
                <w:b w:val="0"/>
                <w:bCs w:val="0"/>
                <w:sz w:val="24"/>
              </w:rPr>
            </w:pPr>
            <w:r>
              <w:rPr>
                <w:rFonts w:hint="eastAsia"/>
                <w:b w:val="0"/>
                <w:bCs w:val="0"/>
                <w:sz w:val="24"/>
              </w:rPr>
              <w:t>12</w:t>
            </w:r>
          </w:p>
        </w:tc>
        <w:tc>
          <w:tcPr>
            <w:tcW w:w="2460" w:type="dxa"/>
            <w:noWrap w:val="0"/>
            <w:vAlign w:val="center"/>
          </w:tcPr>
          <w:p>
            <w:pPr>
              <w:spacing w:before="0" w:beforeLines="0" w:afterLines="0" w:line="240" w:lineRule="auto"/>
              <w:rPr>
                <w:rFonts w:hint="eastAsia"/>
                <w:b w:val="0"/>
                <w:bCs w:val="0"/>
                <w:sz w:val="24"/>
              </w:rPr>
            </w:pPr>
            <w:r>
              <w:rPr>
                <w:rFonts w:hint="eastAsia"/>
                <w:b w:val="0"/>
                <w:bCs w:val="0"/>
                <w:sz w:val="24"/>
              </w:rPr>
              <w:t>巫溪县中医院门急诊住院综合大楼</w:t>
            </w:r>
          </w:p>
        </w:tc>
        <w:tc>
          <w:tcPr>
            <w:tcW w:w="1179" w:type="dxa"/>
            <w:noWrap w:val="0"/>
            <w:vAlign w:val="center"/>
          </w:tcPr>
          <w:p>
            <w:pPr>
              <w:spacing w:before="0" w:beforeLines="0" w:afterLines="0" w:line="240" w:lineRule="auto"/>
              <w:rPr>
                <w:rFonts w:hint="eastAsia"/>
                <w:b w:val="0"/>
                <w:bCs w:val="0"/>
                <w:sz w:val="24"/>
              </w:rPr>
            </w:pPr>
            <w:r>
              <w:rPr>
                <w:rFonts w:hint="eastAsia"/>
                <w:b w:val="0"/>
                <w:bCs w:val="0"/>
                <w:sz w:val="24"/>
              </w:rPr>
              <w:t>巫溪县</w:t>
            </w:r>
          </w:p>
        </w:tc>
        <w:tc>
          <w:tcPr>
            <w:tcW w:w="2202" w:type="dxa"/>
            <w:noWrap w:val="0"/>
            <w:vAlign w:val="center"/>
          </w:tcPr>
          <w:p>
            <w:pPr>
              <w:spacing w:before="0" w:beforeLines="0" w:afterLines="0" w:line="240" w:lineRule="auto"/>
              <w:rPr>
                <w:rFonts w:hint="eastAsia"/>
                <w:b w:val="0"/>
                <w:bCs w:val="0"/>
                <w:sz w:val="24"/>
              </w:rPr>
            </w:pPr>
            <w:r>
              <w:rPr>
                <w:rFonts w:hint="eastAsia"/>
                <w:b w:val="0"/>
                <w:bCs w:val="0"/>
                <w:sz w:val="24"/>
              </w:rPr>
              <w:t>中医院后面</w:t>
            </w:r>
          </w:p>
        </w:tc>
        <w:tc>
          <w:tcPr>
            <w:tcW w:w="2329" w:type="dxa"/>
            <w:noWrap w:val="0"/>
            <w:vAlign w:val="center"/>
          </w:tcPr>
          <w:p>
            <w:pPr>
              <w:spacing w:before="0" w:beforeLines="0" w:afterLines="0" w:line="240" w:lineRule="auto"/>
              <w:rPr>
                <w:rFonts w:hint="eastAsia"/>
                <w:b w:val="0"/>
                <w:bCs w:val="0"/>
                <w:sz w:val="24"/>
              </w:rPr>
            </w:pPr>
            <w:r>
              <w:rPr>
                <w:rFonts w:hint="eastAsia"/>
                <w:b w:val="0"/>
                <w:bCs w:val="0"/>
                <w:sz w:val="24"/>
              </w:rPr>
              <w:t>分级推进橙色、黄色、红色预警措施</w:t>
            </w:r>
          </w:p>
        </w:tc>
      </w:tr>
    </w:tbl>
    <w:p>
      <w:pPr>
        <w:spacing w:before="0" w:beforeLines="0" w:afterLines="0"/>
        <w:rPr>
          <w:rFonts w:hint="eastAsia" w:eastAsia="方正黑体_GBK" w:cs="方正黑体_GBK"/>
          <w:b w:val="0"/>
          <w:bCs w:val="0"/>
        </w:rPr>
        <w:sectPr>
          <w:headerReference r:id="rId8" w:type="default"/>
          <w:footerReference r:id="rId10" w:type="default"/>
          <w:headerReference r:id="rId9" w:type="even"/>
          <w:pgSz w:w="11906" w:h="16838"/>
          <w:pgMar w:top="2098" w:right="1474" w:bottom="1984" w:left="1587" w:header="851" w:footer="1474" w:gutter="0"/>
          <w:cols w:space="720" w:num="1"/>
          <w:docGrid w:type="linesAndChars" w:linePitch="589" w:charSpace="-842"/>
        </w:sectPr>
      </w:pPr>
    </w:p>
    <w:p>
      <w:pPr>
        <w:spacing w:before="0" w:beforeLines="0" w:afterLines="0"/>
        <w:rPr>
          <w:rFonts w:hint="eastAsia" w:eastAsia="方正黑体_GBK" w:cs="方正黑体_GBK"/>
          <w:b w:val="0"/>
          <w:bCs w:val="0"/>
        </w:rPr>
      </w:pPr>
      <w:r>
        <w:rPr>
          <w:rFonts w:hint="eastAsia" w:eastAsia="方正黑体_GBK" w:cs="方正黑体_GBK"/>
          <w:b w:val="0"/>
          <w:bCs w:val="0"/>
        </w:rPr>
        <w:t>附件4</w:t>
      </w:r>
    </w:p>
    <w:p>
      <w:pPr>
        <w:pStyle w:val="2"/>
        <w:spacing w:before="0" w:beforeLines="0"/>
        <w:rPr>
          <w:rFonts w:hint="eastAsia"/>
          <w:b w:val="0"/>
          <w:bCs w:val="0"/>
          <w:lang w:val="en-US" w:eastAsia="zh-CN"/>
        </w:rPr>
      </w:pPr>
    </w:p>
    <w:p>
      <w:pPr>
        <w:spacing w:before="0" w:beforeLines="0" w:afterLines="0"/>
        <w:jc w:val="center"/>
        <w:rPr>
          <w:rFonts w:hint="eastAsia" w:eastAsia="方正小标宋_GBK" w:cs="方正小标宋_GBK"/>
          <w:b w:val="0"/>
          <w:bCs w:val="0"/>
          <w:sz w:val="44"/>
          <w:szCs w:val="44"/>
        </w:rPr>
      </w:pPr>
      <w:r>
        <w:rPr>
          <w:rFonts w:ascii="Times New Roman" w:hAnsi="Times New Roman"/>
          <w:b w:val="0"/>
          <w:bCs w:val="0"/>
        </w:rPr>
        <w:pict>
          <v:shape id="文本框 26" o:spid="_x0000_s1029" o:spt="202" type="#_x0000_t202" style="position:absolute;left:0pt;margin-left:197.75pt;margin-top:52.45pt;height:28.15pt;width:283.6pt;z-index:251660288;mso-width-relative:page;mso-height-relative:page;" fillcolor="#FFFFFF" filled="t" stroked="t" coordsize="21600,21600" o:gfxdata="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3orzu2AAAAAgBAAAPAAAAAAAAAAEA&#10;IAAAACIAAABkcnMvZG93bnJldi54bWxQSwECFAAUAAAACACHTuJAuAcX3A8CAAAcBAAADgAAAAAA&#10;AAABACAAAAAnAQAAZHJzL2Uyb0RvYy54bWxQSwUGAAAAAAYABgBZAQAAqAUAAAAA&#10;">
            <v:path/>
            <v:fill on="t" focussize="0,0"/>
            <v:stroke/>
            <v:imagedata o:title=""/>
            <o:lock v:ext="edit" aspectratio="f"/>
            <v:textbox>
              <w:txbxContent>
                <w:p>
                  <w:pPr>
                    <w:jc w:val="center"/>
                    <w:rPr>
                      <w:rFonts w:hint="eastAsia"/>
                    </w:rPr>
                  </w:pPr>
                  <w:r>
                    <w:rPr>
                      <w:rFonts w:hint="eastAsia" w:ascii="方正黑体_GBK" w:hAnsi="宋体" w:eastAsia="方正黑体_GBK" w:cs="方正黑体_GBK"/>
                      <w:sz w:val="24"/>
                      <w:lang w:bidi="ar"/>
                    </w:rPr>
                    <w:t>巫溪县重污染天气应急处置指挥部</w:t>
                  </w:r>
                </w:p>
              </w:txbxContent>
            </v:textbox>
          </v:shape>
        </w:pict>
      </w:r>
      <w:r>
        <w:rPr>
          <w:rFonts w:hint="eastAsia" w:eastAsia="方正小标宋_GBK" w:cs="方正小标宋_GBK"/>
          <w:b w:val="0"/>
          <w:bCs w:val="0"/>
          <w:sz w:val="44"/>
          <w:szCs w:val="44"/>
        </w:rPr>
        <w:t>重污染天气应急指挥部机构图</w:t>
      </w:r>
    </w:p>
    <w:p>
      <w:pPr>
        <w:pStyle w:val="7"/>
        <w:keepNext w:val="0"/>
        <w:keepLines w:val="0"/>
        <w:spacing w:before="0" w:after="0" w:line="240" w:lineRule="auto"/>
        <w:ind w:firstLine="276"/>
        <w:rPr>
          <w:rFonts w:hint="eastAsia" w:ascii="Times New Roman" w:hAnsi="Times New Roman"/>
          <w:b w:val="0"/>
        </w:rPr>
      </w:pPr>
      <w:r>
        <w:rPr>
          <w:rFonts w:ascii="Times New Roman" w:hAnsi="Times New Roman"/>
          <w:b w:val="0"/>
        </w:rPr>
        <w:pict>
          <v:line id="直线 33" o:spid="_x0000_s1030" o:spt="20" style="position:absolute;left:0pt;margin-left:339pt;margin-top:21.2pt;height:12.5pt;width:0.8pt;z-index:251667456;mso-width-relative:page;mso-height-relative:page;" filled="f" stroked="t" coordsize="21600,21600" o:gfxdata="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R4+FudsAAAAJAQAADwAAAAAA&#10;AAABACAAAAAiAAAAZHJzL2Rvd25yZXYueG1sUEsBAhQAFAAAAAgAh07iQFQKg+XXAQAAkgMAAA4A&#10;AAAAAAAAAQAgAAAAKgEAAGRycy9lMm9Eb2MueG1sUEsFBgAAAAAGAAYAWQEAAHMFAAAAAA==&#10;">
            <v:path arrowok="t"/>
            <v:fill on="f" focussize="0,0"/>
            <v:stroke endarrow="open"/>
            <v:imagedata o:title=""/>
            <o:lock v:ext="edit" aspectratio="f"/>
          </v:line>
        </w:pict>
      </w:r>
      <w:r>
        <w:rPr>
          <w:rFonts w:hint="eastAsia" w:ascii="Times New Roman" w:hAnsi="Times New Roman"/>
          <w:b w:val="0"/>
        </w:rPr>
        <w:tab/>
      </w:r>
    </w:p>
    <w:p>
      <w:pPr>
        <w:pStyle w:val="22"/>
        <w:widowControl w:val="0"/>
        <w:spacing w:before="0" w:beforeAutospacing="0" w:after="0" w:afterAutospacing="0"/>
        <w:ind w:firstLine="480"/>
        <w:jc w:val="both"/>
        <w:rPr>
          <w:rFonts w:ascii="Times New Roman" w:hAnsi="Times New Roman" w:eastAsia="方正小标宋_GBK"/>
          <w:b w:val="0"/>
          <w:bCs w:val="0"/>
          <w:kern w:val="2"/>
          <w:sz w:val="32"/>
          <w:szCs w:val="32"/>
        </w:rPr>
      </w:pPr>
      <w:r>
        <w:rPr>
          <w:rFonts w:ascii="Times New Roman" w:hAnsi="Times New Roman"/>
          <w:b w:val="0"/>
          <w:bCs w:val="0"/>
        </w:rPr>
        <w:pict>
          <v:shape id="文本框 27" o:spid="_x0000_s1031" o:spt="202" type="#_x0000_t202" style="position:absolute;left:0pt;margin-left:25.5pt;margin-top:7.45pt;height:53.15pt;width:671.05pt;z-index:251661312;mso-width-relative:page;mso-height-relative:page;" fillcolor="#FFFFFF" filled="t" stroked="t" coordsize="21600,21600" o:gfxdata="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JN29+7ZAAAACgEAAA8AAAAAAAAA&#10;AQAgAAAAIgAAAGRycy9kb3ducmV2LnhtbFBLAQIUABQAAAAIAIdO4kCfmMwZEAIAABwEAAAOAAAA&#10;AAAAAAEAIAAAACgBAABkcnMvZTJvRG9jLnhtbFBLBQYAAAAABgAGAFkBAACqBQAAAAA=&#10;">
            <v:path/>
            <v:fill on="t" focussize="0,0"/>
            <v:stroke/>
            <v:imagedata o:title=""/>
            <o:lock v:ext="edit" aspectratio="f"/>
            <v:textbox>
              <w:txbxContent>
                <w:p>
                  <w:pPr>
                    <w:snapToGrid w:val="0"/>
                    <w:spacing w:line="300" w:lineRule="exact"/>
                    <w:ind w:right="48" w:rightChars="15"/>
                    <w:rPr>
                      <w:rFonts w:hint="eastAsia" w:ascii="方正仿宋_GBK" w:eastAsia="方正楷体_GBK"/>
                      <w:sz w:val="24"/>
                      <w:szCs w:val="20"/>
                    </w:rPr>
                  </w:pPr>
                  <w:r>
                    <w:rPr>
                      <w:rFonts w:hint="eastAsia" w:ascii="方正黑体_GBK" w:hAnsi="方正黑体_GBK" w:eastAsia="方正黑体_GBK" w:cs="方正黑体_GBK"/>
                      <w:color w:val="000000"/>
                      <w:sz w:val="24"/>
                      <w:szCs w:val="20"/>
                      <w:lang w:bidi="ar"/>
                    </w:rPr>
                    <w:t>指</w:t>
                  </w:r>
                  <w:r>
                    <w:rPr>
                      <w:rFonts w:hint="eastAsia" w:ascii="方正黑体_GBK" w:eastAsia="方正黑体_GBK"/>
                      <w:color w:val="000000"/>
                      <w:sz w:val="24"/>
                      <w:szCs w:val="20"/>
                      <w:lang w:bidi="ar"/>
                    </w:rPr>
                    <w:t xml:space="preserve"> </w:t>
                  </w:r>
                  <w:r>
                    <w:rPr>
                      <w:rFonts w:hint="eastAsia" w:ascii="方正黑体_GBK" w:hAnsi="方正黑体_GBK" w:eastAsia="方正黑体_GBK" w:cs="方正黑体_GBK"/>
                      <w:color w:val="000000"/>
                      <w:sz w:val="24"/>
                      <w:szCs w:val="20"/>
                      <w:lang w:bidi="ar"/>
                    </w:rPr>
                    <w:t>挥</w:t>
                  </w:r>
                  <w:r>
                    <w:rPr>
                      <w:rFonts w:hint="eastAsia" w:ascii="方正黑体_GBK" w:eastAsia="方正黑体_GBK"/>
                      <w:color w:val="000000"/>
                      <w:sz w:val="24"/>
                      <w:szCs w:val="20"/>
                      <w:lang w:bidi="ar"/>
                    </w:rPr>
                    <w:t xml:space="preserve"> </w:t>
                  </w:r>
                  <w:r>
                    <w:rPr>
                      <w:rFonts w:hint="eastAsia" w:ascii="方正黑体_GBK" w:hAnsi="方正黑体_GBK" w:eastAsia="方正黑体_GBK" w:cs="方正黑体_GBK"/>
                      <w:color w:val="000000"/>
                      <w:sz w:val="24"/>
                      <w:szCs w:val="20"/>
                      <w:lang w:bidi="ar"/>
                    </w:rPr>
                    <w:t>长</w:t>
                  </w:r>
                  <w:r>
                    <w:rPr>
                      <w:rFonts w:hint="eastAsia" w:ascii="方正黑体_GBK" w:hAnsi="方正书宋_GBK" w:eastAsia="方正黑体_GBK" w:cs="方正书宋_GBK"/>
                      <w:color w:val="000000"/>
                      <w:sz w:val="24"/>
                      <w:szCs w:val="20"/>
                      <w:lang w:bidi="ar"/>
                    </w:rPr>
                    <w:t>：</w:t>
                  </w:r>
                  <w:r>
                    <w:rPr>
                      <w:rFonts w:hint="eastAsia" w:ascii="方正楷体_GBK" w:hAnsi="方正仿宋_GBK" w:eastAsia="方正楷体_GBK" w:cs="方正仿宋_GBK"/>
                      <w:color w:val="000000"/>
                      <w:sz w:val="24"/>
                      <w:szCs w:val="20"/>
                      <w:lang w:bidi="ar"/>
                    </w:rPr>
                    <w:t>县</w:t>
                  </w:r>
                  <w:r>
                    <w:rPr>
                      <w:rFonts w:hint="eastAsia" w:ascii="方正楷体_GBK" w:hAnsi="方正仿宋_GBK" w:eastAsia="方正楷体_GBK" w:cs="方正仿宋_GBK"/>
                      <w:sz w:val="24"/>
                      <w:szCs w:val="20"/>
                      <w:lang w:bidi="ar"/>
                    </w:rPr>
                    <w:t>政府分管生态环境工作的分管领导。</w:t>
                  </w:r>
                </w:p>
                <w:p>
                  <w:pPr>
                    <w:snapToGrid w:val="0"/>
                    <w:spacing w:line="300" w:lineRule="exact"/>
                    <w:ind w:left="1267" w:leftChars="15" w:right="48" w:rightChars="15" w:hanging="1219" w:hangingChars="508"/>
                    <w:rPr>
                      <w:rFonts w:ascii="方正楷体_GBK" w:hAnsi="方正仿宋_GBK" w:eastAsia="方正楷体_GBK" w:cs="方正仿宋_GBK"/>
                      <w:sz w:val="24"/>
                      <w:szCs w:val="20"/>
                      <w:lang w:bidi="ar"/>
                    </w:rPr>
                  </w:pPr>
                  <w:r>
                    <w:rPr>
                      <w:rFonts w:hint="eastAsia" w:ascii="方正黑体_GBK" w:hAnsi="方正黑体_GBK" w:eastAsia="方正黑体_GBK" w:cs="方正黑体_GBK"/>
                      <w:sz w:val="24"/>
                      <w:szCs w:val="20"/>
                      <w:lang w:bidi="ar"/>
                    </w:rPr>
                    <w:t>副指挥长</w:t>
                  </w:r>
                  <w:r>
                    <w:rPr>
                      <w:rFonts w:hint="eastAsia" w:ascii="方正黑体_GBK" w:hAnsi="方正书宋_GBK" w:eastAsia="方正黑体_GBK" w:cs="方正书宋_GBK"/>
                      <w:sz w:val="24"/>
                      <w:szCs w:val="20"/>
                      <w:lang w:bidi="ar"/>
                    </w:rPr>
                    <w:t>：</w:t>
                  </w:r>
                  <w:r>
                    <w:rPr>
                      <w:rFonts w:hint="eastAsia" w:ascii="方正楷体_GBK" w:hAnsi="方正仿宋_GBK" w:eastAsia="方正楷体_GBK" w:cs="方正仿宋_GBK"/>
                      <w:sz w:val="24"/>
                      <w:szCs w:val="20"/>
                      <w:lang w:bidi="ar"/>
                    </w:rPr>
                    <w:t>县政府办公室联系副主任、县生态环境局局长、县应急局局长。</w:t>
                  </w:r>
                </w:p>
                <w:p>
                  <w:pPr>
                    <w:snapToGrid w:val="0"/>
                    <w:spacing w:line="300" w:lineRule="exact"/>
                    <w:ind w:left="1267" w:leftChars="15" w:right="48" w:rightChars="15" w:hanging="1219" w:hangingChars="508"/>
                    <w:rPr>
                      <w:rFonts w:ascii="方正楷体_GBK" w:hAnsi="方正仿宋_GBK" w:eastAsia="方正楷体_GBK" w:cs="方正仿宋_GBK"/>
                      <w:sz w:val="24"/>
                      <w:szCs w:val="20"/>
                      <w:lang w:bidi="ar"/>
                    </w:rPr>
                  </w:pPr>
                  <w:r>
                    <w:rPr>
                      <w:rFonts w:hint="eastAsia" w:ascii="方正黑体_GBK" w:hAnsi="方正黑体_GBK" w:eastAsia="方正黑体_GBK" w:cs="方正黑体_GBK"/>
                      <w:color w:val="000000"/>
                      <w:sz w:val="24"/>
                      <w:szCs w:val="20"/>
                      <w:lang w:bidi="ar"/>
                    </w:rPr>
                    <w:t>县指挥部办公室：</w:t>
                  </w:r>
                  <w:r>
                    <w:rPr>
                      <w:rFonts w:hint="eastAsia" w:ascii="方正楷体_GBK" w:hAnsi="方正仿宋_GBK" w:eastAsia="方正楷体_GBK" w:cs="方正仿宋_GBK"/>
                      <w:sz w:val="24"/>
                      <w:szCs w:val="20"/>
                      <w:lang w:bidi="ar"/>
                    </w:rPr>
                    <w:t>设于县生态环境局，由县生态环境局局长兼任办公室主任。</w:t>
                  </w:r>
                </w:p>
                <w:p/>
              </w:txbxContent>
            </v:textbox>
          </v:shape>
        </w:pict>
      </w:r>
      <w:r>
        <w:rPr>
          <w:rFonts w:ascii="Times New Roman" w:hAnsi="Times New Roman" w:eastAsia="方正小标宋_GBK"/>
          <w:b w:val="0"/>
          <w:bCs w:val="0"/>
          <w:kern w:val="2"/>
          <w:sz w:val="32"/>
          <w:szCs w:val="32"/>
        </w:rPr>
        <w:t xml:space="preserve"> </w:t>
      </w:r>
    </w:p>
    <w:p>
      <w:pPr>
        <w:pStyle w:val="22"/>
        <w:widowControl w:val="0"/>
        <w:spacing w:before="0" w:beforeAutospacing="0" w:after="0" w:afterAutospacing="0"/>
        <w:ind w:firstLine="880"/>
        <w:jc w:val="both"/>
        <w:rPr>
          <w:rFonts w:ascii="Times New Roman" w:hAnsi="Times New Roman" w:eastAsia="方正小标宋_GBK"/>
          <w:b w:val="0"/>
          <w:bCs w:val="0"/>
          <w:kern w:val="2"/>
          <w:sz w:val="44"/>
          <w:szCs w:val="44"/>
        </w:rPr>
      </w:pPr>
      <w:r>
        <w:rPr>
          <w:rFonts w:ascii="Times New Roman" w:hAnsi="Times New Roman"/>
          <w:b w:val="0"/>
          <w:bCs w:val="0"/>
          <w:sz w:val="44"/>
        </w:rPr>
        <w:pict>
          <v:line id="直线 38" o:spid="_x0000_s1032" o:spt="20" style="position:absolute;left:0pt;margin-left:652.85pt;margin-top:24.35pt;height:17.2pt;width:0.05pt;z-index:251672576;mso-width-relative:page;mso-height-relative:page;" filled="f" stroked="t" coordsize="21600,21600" o:gfxdata="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">
            <v:path arrowok="t"/>
            <v:fill on="f" focussize="0,0"/>
            <v:stroke endarrow="open"/>
            <v:imagedata o:title=""/>
            <o:lock v:ext="edit" aspectratio="f"/>
          </v:line>
        </w:pict>
      </w:r>
      <w:r>
        <w:rPr>
          <w:rFonts w:ascii="Times New Roman" w:hAnsi="Times New Roman"/>
          <w:b w:val="0"/>
          <w:bCs w:val="0"/>
          <w:sz w:val="44"/>
        </w:rPr>
        <w:pict>
          <v:line id="直线 37" o:spid="_x0000_s1033" o:spt="20" style="position:absolute;left:0pt;margin-left:547.85pt;margin-top:25.3pt;height:17.2pt;width:0.05pt;z-index:251671552;mso-width-relative:page;mso-height-relative:page;" filled="f" stroked="t" coordsize="21600,21600" o:gfxdata="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bfT52QAAAAsBAAAPAAAAAAAAAAEA&#10;IAAAACIAAABkcnMvZG93bnJldi54bWxQSwECFAAUAAAACACHTuJAuFfIhNUBAACRAwAADgAAAAAA&#10;AAABACAAAAAoAQAAZHJzL2Uyb0RvYy54bWxQSwUGAAAAAAYABgBZAQAAbwUAAAAA&#10;">
            <v:path arrowok="t"/>
            <v:fill on="f" focussize="0,0"/>
            <v:stroke endarrow="open"/>
            <v:imagedata o:title=""/>
            <o:lock v:ext="edit" aspectratio="f"/>
          </v:line>
        </w:pict>
      </w:r>
      <w:r>
        <w:rPr>
          <w:rFonts w:ascii="Times New Roman" w:hAnsi="Times New Roman"/>
          <w:b w:val="0"/>
          <w:bCs w:val="0"/>
          <w:sz w:val="44"/>
        </w:rPr>
        <w:pict>
          <v:line id="直线 36" o:spid="_x0000_s1034" o:spt="20" style="position:absolute;left:0pt;margin-left:420pt;margin-top:24.05pt;height:17.2pt;width:0.05pt;z-index:251670528;mso-width-relative:page;mso-height-relative:page;" filled="f" stroked="t" coordsize="21600,21600" o:gfxdata="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vLAztkAAAAJAQAADwAAAAAAAAAB&#10;ACAAAAAiAAAAZHJzL2Rvd25yZXYueG1sUEsBAhQAFAAAAAgAh07iQENN6jrWAQAAkQMAAA4AAAAA&#10;AAAAAQAgAAAAKAEAAGRycy9lMm9Eb2MueG1sUEsFBgAAAAAGAAYAWQEAAHAFAAAAAA==&#10;">
            <v:path arrowok="t"/>
            <v:fill on="f" focussize="0,0"/>
            <v:stroke endarrow="open"/>
            <v:imagedata o:title=""/>
            <o:lock v:ext="edit" aspectratio="f"/>
          </v:line>
        </w:pict>
      </w:r>
      <w:r>
        <w:rPr>
          <w:rFonts w:ascii="Times New Roman" w:hAnsi="Times New Roman"/>
          <w:b w:val="0"/>
          <w:bCs w:val="0"/>
          <w:sz w:val="44"/>
        </w:rPr>
        <w:pict>
          <v:line id="直线 35" o:spid="_x0000_s1035" o:spt="20" style="position:absolute;left:0pt;margin-left:258.3pt;margin-top:24.85pt;height:17.2pt;width:0.05pt;z-index:251669504;mso-width-relative:page;mso-height-relative:page;" filled="f" stroked="t" coordsize="21600,21600" o:gfxdata="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L0ODGDZAAAACQEAAA8AAAAAAAAAAQAg&#10;AAAAIgAAAGRycy9kb3ducmV2LnhtbFBLAQIUABQAAAAIAIdO4kAPZP0j1AEAAJEDAAAOAAAAAAAA&#10;AAEAIAAAACgBAABkcnMvZTJvRG9jLnhtbFBLBQYAAAAABgAGAFkBAABuBQAAAAA=&#10;">
            <v:path arrowok="t"/>
            <v:fill on="f" focussize="0,0"/>
            <v:stroke endarrow="open"/>
            <v:imagedata o:title=""/>
            <o:lock v:ext="edit" aspectratio="f"/>
          </v:line>
        </w:pict>
      </w:r>
      <w:r>
        <w:rPr>
          <w:rFonts w:ascii="Times New Roman" w:hAnsi="Times New Roman"/>
          <w:b w:val="0"/>
          <w:bCs w:val="0"/>
          <w:sz w:val="44"/>
        </w:rPr>
        <w:pict>
          <v:line id="直线 34" o:spid="_x0000_s1036" o:spt="20" style="position:absolute;left:0pt;margin-left:92.2pt;margin-top:24.25pt;height:17.2pt;width:0.05pt;z-index:251668480;mso-width-relative:page;mso-height-relative:page;" filled="f" stroked="t" coordsize="21600,21600" o:gfxdata="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B2OuYT2QAAAAkBAAAPAAAAAAAAAAEA&#10;IAAAACIAAABkcnMvZG93bnJldi54bWxQSwECFAAUAAAACACHTuJA9H7fndUBAACRAwAADgAAAAAA&#10;AAABACAAAAAoAQAAZHJzL2Uyb0RvYy54bWxQSwUGAAAAAAYABgBZAQAAbwUAAAAA&#10;">
            <v:path arrowok="t"/>
            <v:fill on="f" focussize="0,0"/>
            <v:stroke endarrow="open"/>
            <v:imagedata o:title=""/>
            <o:lock v:ext="edit" aspectratio="f"/>
          </v:line>
        </w:pict>
      </w:r>
    </w:p>
    <w:p>
      <w:pPr>
        <w:spacing w:before="0" w:beforeLines="0" w:afterLines="0"/>
        <w:ind w:firstLine="640"/>
        <w:rPr>
          <w:rFonts w:eastAsia="方正黑体_GBK"/>
          <w:b w:val="0"/>
          <w:bCs w:val="0"/>
          <w:szCs w:val="32"/>
        </w:rPr>
      </w:pPr>
      <w:r>
        <w:rPr>
          <w:b w:val="0"/>
          <w:bCs w:val="0"/>
          <w:sz w:val="28"/>
        </w:rPr>
        <w:pict>
          <v:shape id="文本框 32" o:spid="_x0000_s1037" o:spt="202" type="#_x0000_t202" style="position:absolute;left:0pt;margin-left:613.75pt;margin-top:9.35pt;height:214.75pt;width:83.65pt;z-index:251666432;mso-width-relative:page;mso-height-relative:page;" fillcolor="#FFFFFF" filled="t" stroked="t" coordsize="21600,21600" o:gfxdata="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C9VSEI2gAAAAwBAAAPAAAAAAAA&#10;AAEAIAAAACIAAABkcnMvZG93bnJldi54bWxQSwECFAAUAAAACACHTuJAPXWykhACAAAdBAAADgAA&#10;AAAAAAABACAAAAApAQAAZHJzL2Uyb0RvYy54bWxQSwUGAAAAAAYABgBZAQAAqwUAAAAA&#10;">
            <v:path/>
            <v:fill on="t" focussize="0,0"/>
            <v:stroke/>
            <v:imagedata o:title=""/>
            <o:lock v:ext="edit" aspectratio="f"/>
            <v:textbox>
              <w:txbxContent>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宣传引导组</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牵头单位：县委宣传部、县生态环境局</w:t>
                  </w:r>
                </w:p>
                <w:p>
                  <w:pPr>
                    <w:snapToGrid w:val="0"/>
                    <w:spacing w:line="220" w:lineRule="exact"/>
                    <w:rPr>
                      <w:rFonts w:hint="eastAsia" w:hAnsi="方正黑体_GBK" w:eastAsia="方正黑体_GBK" w:cs="方正黑体_GBK"/>
                      <w:sz w:val="18"/>
                      <w:szCs w:val="18"/>
                    </w:rPr>
                  </w:pPr>
                  <w:r>
                    <w:rPr>
                      <w:rFonts w:hint="eastAsia" w:hAnsi="方正黑体_GBK" w:eastAsia="方正黑体_GBK" w:cs="方正黑体_GBK"/>
                      <w:sz w:val="18"/>
                      <w:szCs w:val="18"/>
                    </w:rPr>
                    <w:t>责任单位：县融媒体中心（电视台）、中国移动巫溪分公司、中国联通巫溪分公司、中国电信巫溪分公司。</w:t>
                  </w:r>
                </w:p>
                <w:p>
                  <w:pPr>
                    <w:snapToGrid w:val="0"/>
                    <w:spacing w:line="220" w:lineRule="exact"/>
                    <w:rPr>
                      <w:sz w:val="18"/>
                      <w:szCs w:val="18"/>
                    </w:rPr>
                  </w:pPr>
                  <w:r>
                    <w:rPr>
                      <w:rFonts w:hint="eastAsia" w:hAnsi="方正黑体_GBK" w:eastAsia="方正黑体_GBK" w:cs="方正黑体_GBK"/>
                      <w:sz w:val="18"/>
                      <w:szCs w:val="18"/>
                    </w:rPr>
                    <w:t>职责：负责及时准确、正面客观发布权威信息；收集相关舆情；组织开展宣传报道；做好舆论引导，做好媒体记者接待。</w:t>
                  </w:r>
                </w:p>
                <w:p>
                  <w:pPr>
                    <w:spacing w:line="220" w:lineRule="exact"/>
                  </w:pPr>
                </w:p>
              </w:txbxContent>
            </v:textbox>
          </v:shape>
        </w:pict>
      </w:r>
      <w:r>
        <w:rPr>
          <w:b w:val="0"/>
          <w:bCs w:val="0"/>
          <w:sz w:val="28"/>
        </w:rPr>
        <w:pict>
          <v:shape id="文本框 31" o:spid="_x0000_s1038" o:spt="202" type="#_x0000_t202" style="position:absolute;left:0pt;margin-left:494.65pt;margin-top:9.2pt;height:216.25pt;width:111.8pt;z-index:251665408;mso-width-relative:page;mso-height-relative:page;" fillcolor="#FFFFFF" filled="t" stroked="t" coordsize="21600,21600" o:gfxdata="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ZvarV2QAAAAsBAAAPAAAAAAAA&#10;AAEAIAAAACIAAABkcnMvZG93bnJldi54bWxQSwECFAAUAAAACACHTuJAWSH/9xECAAAdBAAADgAA&#10;AAAAAAABACAAAAAoAQAAZHJzL2Uyb0RvYy54bWxQSwUGAAAAAAYABgBZAQAAqwUAAAAA&#10;">
            <v:path/>
            <v:fill on="t" focussize="0,0"/>
            <v:stroke/>
            <v:imagedata o:title=""/>
            <o:lock v:ext="edit" aspectratio="f"/>
            <v:textbox>
              <w:txbxContent>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机动车排气应急组</w:t>
                  </w:r>
                </w:p>
                <w:p>
                  <w:pPr>
                    <w:snapToGrid w:val="0"/>
                    <w:spacing w:line="220" w:lineRule="exact"/>
                    <w:rPr>
                      <w:rFonts w:hint="eastAsia" w:hAnsi="方正黑体_GBK" w:eastAsia="方正黑体_GBK" w:cs="方正黑体_GBK"/>
                      <w:sz w:val="18"/>
                      <w:szCs w:val="18"/>
                    </w:rPr>
                  </w:pPr>
                  <w:r>
                    <w:rPr>
                      <w:rFonts w:hint="eastAsia" w:hAnsi="方正黑体_GBK" w:eastAsia="方正黑体_GBK" w:cs="方正黑体_GBK"/>
                      <w:sz w:val="18"/>
                      <w:szCs w:val="18"/>
                    </w:rPr>
                    <w:t>牵头部门：县公安局、县生态环境局、县交通局</w:t>
                  </w:r>
                </w:p>
                <w:p>
                  <w:pPr>
                    <w:snapToGrid w:val="0"/>
                    <w:spacing w:line="220" w:lineRule="exact"/>
                    <w:rPr>
                      <w:rFonts w:hint="eastAsia" w:hAnsi="方正黑体_GBK" w:eastAsia="方正黑体_GBK" w:cs="方正黑体_GBK"/>
                      <w:sz w:val="18"/>
                      <w:szCs w:val="18"/>
                    </w:rPr>
                  </w:pPr>
                  <w:r>
                    <w:rPr>
                      <w:rFonts w:hint="eastAsia" w:hAnsi="方正黑体_GBK" w:eastAsia="方正黑体_GBK" w:cs="方正黑体_GBK"/>
                      <w:sz w:val="18"/>
                      <w:szCs w:val="18"/>
                    </w:rPr>
                    <w:t>责任单位：县住房城乡建委、县城市管理局、县市场监管局、县商务委</w:t>
                  </w:r>
                </w:p>
                <w:p>
                  <w:pPr>
                    <w:snapToGrid w:val="0"/>
                    <w:spacing w:line="220" w:lineRule="exact"/>
                    <w:rPr>
                      <w:sz w:val="18"/>
                      <w:szCs w:val="18"/>
                    </w:rPr>
                  </w:pPr>
                  <w:r>
                    <w:rPr>
                      <w:rFonts w:hint="eastAsia" w:hAnsi="方正黑体_GBK" w:eastAsia="方正黑体_GBK" w:cs="方正黑体_GBK"/>
                      <w:sz w:val="18"/>
                      <w:szCs w:val="18"/>
                    </w:rPr>
                    <w:t>职责：负责道路行驶车辆的执法检查；强化路检、抽检频次，查处高排放车辆和冒黑烟车辆进入禁行区行驶；落实高排放车辆应急限行措施；开展公共交通出行的倡议宣传；对机动车、非道路移动机械油品质量进行检查；强化交通指挥、保障道路畅通；优化扩大公交运力，保障市民公共交通出行。</w:t>
                  </w:r>
                </w:p>
                <w:p/>
              </w:txbxContent>
            </v:textbox>
          </v:shape>
        </w:pict>
      </w:r>
      <w:r>
        <w:rPr>
          <w:b w:val="0"/>
          <w:bCs w:val="0"/>
          <w:sz w:val="28"/>
        </w:rPr>
        <w:pict>
          <v:shape id="文本框 30" o:spid="_x0000_s1039" o:spt="202" type="#_x0000_t202" style="position:absolute;left:0pt;margin-left:359.4pt;margin-top:9.4pt;height:217.15pt;width:129.6pt;z-index:251664384;mso-width-relative:page;mso-height-relative:page;" fillcolor="#FFFFFF" filled="t" stroked="t" coordsize="21600,21600" o:gfxdata="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Qn2QpNkAAAAKAQAADwAAAAAAAAAB&#10;ACAAAAAiAAAAZHJzL2Rvd25yZXYueG1sUEsBAhQAFAAAAAgAh07iQLyK5XcPAgAAHQQAAA4AAAAA&#10;AAAAAQAgAAAAKAEAAGRycy9lMm9Eb2MueG1sUEsFBgAAAAAGAAYAWQEAAKkFAAAAAA==&#10;">
            <v:path/>
            <v:fill on="t" focussize="0,0"/>
            <v:stroke/>
            <v:imagedata o:title=""/>
            <o:lock v:ext="edit" aspectratio="f"/>
            <v:textbox>
              <w:txbxContent>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城市扬尘应急组</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牵头单位：县城乡建委、县城市管理局</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责任单位：县公安局、县生态环境局、县城市管理局、县交通局、县农业农村委、县市场监管局、县气象局、相关乡镇（街道）。</w:t>
                  </w:r>
                </w:p>
                <w:p>
                  <w:pPr>
                    <w:snapToGrid w:val="0"/>
                    <w:spacing w:line="220" w:lineRule="exact"/>
                    <w:rPr>
                      <w:rFonts w:ascii="方正仿宋_GBK" w:hAnsi="方正书宋_GBK" w:cs="方正仿宋_GBK"/>
                      <w:sz w:val="18"/>
                      <w:szCs w:val="18"/>
                    </w:rPr>
                  </w:pPr>
                  <w:r>
                    <w:rPr>
                      <w:rFonts w:hint="eastAsia" w:hAnsi="方正黑体_GBK" w:eastAsia="方正黑体_GBK" w:cs="方正黑体_GBK"/>
                      <w:sz w:val="18"/>
                      <w:szCs w:val="18"/>
                    </w:rPr>
                    <w:t>职责：负责组织对施工扬尘、道路扬尘的检查与控制；督促各类施工工地停工，搅拌站、物料堆场和渣土消纳场暂停生产作业；加强对易撒漏物质密闭运输的检查力度；提高洒水清扫保洁力度；督促响应区域内尘源堆场落实覆盖、喷淋等措施；查处秸秆、生活垃圾、建筑垃圾等露天燃烧行为；加强餐饮业油烟排放监管。</w:t>
                  </w:r>
                </w:p>
                <w:p/>
              </w:txbxContent>
            </v:textbox>
          </v:shape>
        </w:pict>
      </w:r>
      <w:r>
        <w:rPr>
          <w:b w:val="0"/>
          <w:bCs w:val="0"/>
          <w:sz w:val="28"/>
        </w:rPr>
        <w:pict>
          <v:shape id="文本框 28" o:spid="_x0000_s1040" o:spt="202" type="#_x0000_t202" style="position:absolute;left:0pt;margin-left:2.5pt;margin-top:9pt;height:217.2pt;width:157.8pt;z-index:251662336;mso-width-relative:page;mso-height-relative:page;" fillcolor="#FFFFFF" filled="t" stroked="t" coordsize="21600,21600" o:gfxdata="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L18Yb2AAAAAgBAAAPAAAAAAAA&#10;AAEAIAAAACIAAABkcnMvZG93bnJldi54bWxQSwECFAAUAAAACACHTuJApgQTbhICAAAdBAAADgAA&#10;AAAAAAABACAAAAAnAQAAZHJzL2Uyb0RvYy54bWxQSwUGAAAAAAYABgBZAQAAqwUAAAAA&#10;">
            <v:path/>
            <v:fill on="t" focussize="0,0"/>
            <v:stroke/>
            <v:imagedata o:title=""/>
            <o:lock v:ext="edit" aspectratio="f"/>
            <v:textbox>
              <w:txbxContent>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综合协调组</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牵头单位：县应急局、县生态环境局。</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责任单位：县政府办公室、县委宣传部、县经济信息委、县财政局、县住房城乡建委、县卫生健康委、县城市管理局、县应急局、县市场监管局、相关乡镇（街道）、工业园区管委会。</w:t>
                  </w:r>
                </w:p>
                <w:p>
                  <w:pPr>
                    <w:snapToGrid w:val="0"/>
                    <w:spacing w:line="220" w:lineRule="exact"/>
                    <w:rPr>
                      <w:rFonts w:hint="eastAsia" w:hAnsi="方正黑体_GBK" w:eastAsia="方正黑体_GBK" w:cs="方正黑体_GBK"/>
                      <w:sz w:val="18"/>
                      <w:szCs w:val="18"/>
                    </w:rPr>
                  </w:pPr>
                  <w:r>
                    <w:rPr>
                      <w:rFonts w:hint="eastAsia" w:hAnsi="方正黑体_GBK" w:eastAsia="方正黑体_GBK" w:cs="方正黑体_GBK"/>
                      <w:sz w:val="18"/>
                      <w:szCs w:val="18"/>
                    </w:rPr>
                    <w:t>职责：负责空气质量和气象要素的监测综合分析，依托重庆市空气质量发布系统预测大气污染情况，提出空气重污染预警级别和响应区域的建议；收集研究汇总信息上报，传达上级有关指示；协调调配有关应急资源，提供稳定后勤保障；协调各工作组全力开展工作；开展应急措施调查、评估，按时上报空气重污染天气应急处置情况；对相关部门履职和行政效能的监督和检查等。</w:t>
                  </w:r>
                </w:p>
                <w:p>
                  <w:pPr>
                    <w:spacing w:line="220" w:lineRule="exact"/>
                  </w:pPr>
                </w:p>
              </w:txbxContent>
            </v:textbox>
          </v:shape>
        </w:pict>
      </w:r>
      <w:r>
        <w:rPr>
          <w:b w:val="0"/>
          <w:bCs w:val="0"/>
          <w:sz w:val="28"/>
        </w:rPr>
        <w:pict>
          <v:shape id="文本框 29" o:spid="_x0000_s1041" o:spt="202" type="#_x0000_t202" style="position:absolute;left:0pt;margin-left:165.45pt;margin-top:8.5pt;height:217.85pt;width:189.55pt;z-index:251663360;mso-width-relative:page;mso-height-relative:page;" fillcolor="#FFFFFF" filled="t" stroked="t" coordsize="21600,21600" o:gfxdata="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MBSJjZAAAACgEAAA8AAAAAAAAA&#10;AQAgAAAAIgAAAGRycy9kb3ducmV2LnhtbFBLAQIUABQAAAAIAIdO4kDkwAblEAIAAB0EAAAOAAAA&#10;AAAAAAEAIAAAACgBAABkcnMvZTJvRG9jLnhtbFBLBQYAAAAABgAGAFkBAACqBQAAAAA=&#10;">
            <v:path/>
            <v:fill on="t" focussize="0,0"/>
            <v:stroke/>
            <v:imagedata o:title=""/>
            <o:lock v:ext="edit" aspectratio="f"/>
            <v:textbox>
              <w:txbxContent>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工业应急组</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牵头单位：县经济信息委、县生态环境局。</w:t>
                  </w:r>
                </w:p>
                <w:p>
                  <w:pPr>
                    <w:snapToGrid w:val="0"/>
                    <w:spacing w:line="220" w:lineRule="exact"/>
                    <w:rPr>
                      <w:rFonts w:hAnsi="方正黑体_GBK" w:eastAsia="方正黑体_GBK" w:cs="方正黑体_GBK"/>
                      <w:sz w:val="18"/>
                      <w:szCs w:val="18"/>
                    </w:rPr>
                  </w:pPr>
                  <w:r>
                    <w:rPr>
                      <w:rFonts w:hint="eastAsia" w:hAnsi="方正黑体_GBK" w:eastAsia="方正黑体_GBK" w:cs="方正黑体_GBK"/>
                      <w:sz w:val="18"/>
                      <w:szCs w:val="18"/>
                    </w:rPr>
                    <w:t>责任单位：县城市管理局、县市场监管局、工业园区管委会、相关乡镇（街道）、县供电公司。</w:t>
                  </w:r>
                </w:p>
                <w:p>
                  <w:pPr>
                    <w:snapToGrid w:val="0"/>
                    <w:spacing w:line="220" w:lineRule="exact"/>
                    <w:rPr>
                      <w:rFonts w:ascii="方正仿宋_GBK"/>
                      <w:sz w:val="18"/>
                      <w:szCs w:val="18"/>
                    </w:rPr>
                  </w:pPr>
                  <w:r>
                    <w:rPr>
                      <w:rFonts w:hint="eastAsia" w:hAnsi="方正黑体_GBK" w:eastAsia="方正黑体_GBK" w:cs="方正黑体_GBK"/>
                      <w:sz w:val="18"/>
                      <w:szCs w:val="18"/>
                    </w:rPr>
                    <w:t>职责：负责督导相关企业储备优质煤炭，开展限产减排等措施；检查高污染燃料禁燃区内各餐饮企业的燃料使用情况，指导检查混凝土搅拌站、沥青、石材加工、水泥制品（水泥砖）等企业执行情况，规范应急响应；根据预警等级督促重点企业落实应急管理措施，重点开展对企业生产排放台账、污染治理设施和在线监测设备运行、预警应急措施落实情况的检查；根据预警级别督促水泥制品、石材切割等企业采取相应的限产、停产减排措施，降低污染负荷；依法取缔高污染燃料禁燃区内的燃煤设施；对违规排污的企业依法进行处罚；必要时，对企业实行断电措施。</w:t>
                  </w:r>
                </w:p>
                <w:p/>
              </w:txbxContent>
            </v:textbox>
          </v:shape>
        </w:pict>
      </w:r>
    </w:p>
    <w:p>
      <w:pPr>
        <w:spacing w:before="0" w:beforeLines="0" w:afterLines="0"/>
        <w:rPr>
          <w:b w:val="0"/>
          <w:bCs w:val="0"/>
        </w:rPr>
      </w:pPr>
    </w:p>
    <w:p>
      <w:pPr>
        <w:pStyle w:val="7"/>
        <w:keepNext w:val="0"/>
        <w:keepLines w:val="0"/>
        <w:spacing w:before="0" w:after="0" w:line="240" w:lineRule="auto"/>
        <w:ind w:firstLine="276"/>
        <w:rPr>
          <w:rFonts w:ascii="Times New Roman" w:hAnsi="Times New Roman"/>
          <w:b w:val="0"/>
        </w:rPr>
      </w:pPr>
    </w:p>
    <w:p>
      <w:pPr>
        <w:spacing w:before="0" w:beforeLines="0" w:afterLines="0"/>
        <w:ind w:firstLine="640"/>
        <w:rPr>
          <w:b w:val="0"/>
          <w:bCs w:val="0"/>
        </w:rPr>
      </w:pPr>
    </w:p>
    <w:p>
      <w:pPr>
        <w:pStyle w:val="7"/>
        <w:keepNext w:val="0"/>
        <w:keepLines w:val="0"/>
        <w:spacing w:before="0" w:after="0" w:line="240" w:lineRule="auto"/>
        <w:ind w:firstLine="276"/>
        <w:rPr>
          <w:rFonts w:ascii="Times New Roman" w:hAnsi="Times New Roman"/>
          <w:b w:val="0"/>
        </w:rPr>
      </w:pPr>
    </w:p>
    <w:p>
      <w:pPr>
        <w:spacing w:before="0" w:beforeLines="0" w:afterLines="0"/>
        <w:ind w:firstLine="640"/>
        <w:rPr>
          <w:b w:val="0"/>
          <w:bCs w:val="0"/>
        </w:rPr>
      </w:pPr>
    </w:p>
    <w:p>
      <w:pPr>
        <w:spacing w:before="0" w:beforeLines="0" w:afterLines="0"/>
        <w:ind w:firstLine="640"/>
        <w:rPr>
          <w:b w:val="0"/>
          <w:bCs w:val="0"/>
        </w:rPr>
      </w:pPr>
    </w:p>
    <w:p>
      <w:pPr>
        <w:spacing w:before="0" w:beforeLines="0" w:afterLines="0"/>
        <w:rPr>
          <w:rFonts w:hint="eastAsia" w:eastAsia="方正黑体_GBK" w:cs="方正黑体_GBK"/>
          <w:b w:val="0"/>
          <w:bCs w:val="0"/>
        </w:rPr>
      </w:pPr>
      <w:r>
        <w:rPr>
          <w:rFonts w:hint="eastAsia" w:eastAsia="方正黑体_GBK" w:cs="方正黑体_GBK"/>
          <w:b w:val="0"/>
          <w:bCs w:val="0"/>
        </w:rPr>
        <w:br w:type="page"/>
      </w:r>
      <w:r>
        <w:rPr>
          <w:rFonts w:hint="eastAsia" w:eastAsia="方正黑体_GBK" w:cs="方正黑体_GBK"/>
          <w:b w:val="0"/>
          <w:bCs w:val="0"/>
        </w:rPr>
        <w:t>附件5</w:t>
      </w:r>
    </w:p>
    <w:p>
      <w:pPr>
        <w:spacing w:before="0" w:beforeLines="0" w:afterLines="0"/>
        <w:jc w:val="center"/>
        <w:rPr>
          <w:rFonts w:hint="eastAsia" w:eastAsia="方正小标宋_GBK" w:cs="方正小标宋_GBK"/>
          <w:b w:val="0"/>
          <w:bCs w:val="0"/>
          <w:sz w:val="44"/>
          <w:szCs w:val="44"/>
        </w:rPr>
      </w:pPr>
      <w:r>
        <w:rPr>
          <w:rFonts w:hint="eastAsia" w:eastAsia="方正黑体_GBK" w:cs="方正黑体_GBK"/>
          <w:b w:val="0"/>
          <w:bCs w:val="0"/>
        </w:rPr>
        <w:pict>
          <v:shape id="图片 1" o:spid="_x0000_s1042" o:spt="75" type="#_x0000_t75" style="position:absolute;left:0pt;margin-left:2.25pt;margin-top:50.2pt;height:326.35pt;width:629.5pt;z-index:251659264;mso-width-relative:page;mso-height-relative:page;" filled="f" o:preferrelative="t" stroked="f" coordsize="21600,21600">
            <v:path/>
            <v:fill on="f" focussize="0,0"/>
            <v:stroke on="f"/>
            <v:imagedata r:id="rId13" croptop="6423f" cropbottom="17018f" o:title=""/>
            <o:lock v:ext="edit" aspectratio="t"/>
          </v:shape>
        </w:pict>
      </w:r>
      <w:r>
        <w:rPr>
          <w:rFonts w:hint="eastAsia" w:eastAsia="方正小标宋_GBK" w:cs="方正小标宋_GBK"/>
          <w:b w:val="0"/>
          <w:bCs w:val="0"/>
          <w:sz w:val="44"/>
          <w:szCs w:val="44"/>
        </w:rPr>
        <w:t>重污染天气应急响应范围图</w:t>
      </w: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pPr>
    </w:p>
    <w:p>
      <w:pPr>
        <w:spacing w:before="0" w:beforeLines="0" w:afterLines="0"/>
        <w:rPr>
          <w:rFonts w:hint="eastAsia" w:eastAsia="方正小标宋_GBK" w:cs="方正小标宋_GBK"/>
          <w:b w:val="0"/>
          <w:bCs w:val="0"/>
          <w:sz w:val="44"/>
          <w:szCs w:val="44"/>
        </w:rPr>
        <w:sectPr>
          <w:headerReference r:id="rId11" w:type="even"/>
          <w:pgSz w:w="16838" w:h="11906" w:orient="landscape"/>
          <w:pgMar w:top="1531" w:right="2098" w:bottom="1531" w:left="2154" w:header="851" w:footer="1134" w:gutter="0"/>
          <w:cols w:space="720" w:num="1"/>
          <w:docGrid w:type="linesAndChars" w:linePitch="589" w:charSpace="-842"/>
        </w:sectPr>
      </w:pPr>
    </w:p>
    <w:p>
      <w:pPr>
        <w:spacing w:before="0" w:beforeLines="0" w:afterLines="0"/>
        <w:rPr>
          <w:rFonts w:hint="eastAsia" w:eastAsia="方正黑体_GBK" w:cs="方正黑体_GBK"/>
          <w:b w:val="0"/>
          <w:bCs w:val="0"/>
          <w:szCs w:val="32"/>
        </w:rPr>
      </w:pPr>
      <w:r>
        <w:rPr>
          <w:rFonts w:hint="eastAsia" w:eastAsia="方正黑体_GBK" w:cs="方正黑体_GBK"/>
          <w:b w:val="0"/>
          <w:bCs w:val="0"/>
          <w:szCs w:val="32"/>
        </w:rPr>
        <w:t xml:space="preserve">附件6 </w:t>
      </w:r>
    </w:p>
    <w:p>
      <w:pPr>
        <w:pStyle w:val="2"/>
        <w:spacing w:before="0" w:beforeLines="0"/>
        <w:rPr>
          <w:rFonts w:hint="eastAsia"/>
          <w:b w:val="0"/>
          <w:bCs w:val="0"/>
        </w:rPr>
      </w:pPr>
    </w:p>
    <w:p>
      <w:pPr>
        <w:pStyle w:val="7"/>
        <w:keepNext w:val="0"/>
        <w:keepLines w:val="0"/>
        <w:spacing w:before="0" w:after="0" w:line="240" w:lineRule="auto"/>
        <w:ind w:firstLine="0" w:firstLineChars="0"/>
        <w:rPr>
          <w:rFonts w:hint="eastAsia" w:ascii="Times New Roman" w:hAnsi="Times New Roman" w:eastAsia="方正小标宋_GBK" w:cs="方正小标宋_GBK"/>
          <w:b w:val="0"/>
          <w:sz w:val="44"/>
          <w:szCs w:val="44"/>
        </w:rPr>
      </w:pPr>
      <w:r>
        <w:rPr>
          <w:rFonts w:hint="eastAsia" w:ascii="Times New Roman" w:hAnsi="Times New Roman" w:eastAsia="方正小标宋_GBK" w:cs="方正小标宋_GBK"/>
          <w:b w:val="0"/>
          <w:sz w:val="44"/>
          <w:szCs w:val="44"/>
        </w:rPr>
        <w:t>巫溪县重污染天气应急指挥部成员单位联系表</w:t>
      </w:r>
    </w:p>
    <w:tbl>
      <w:tblPr>
        <w:tblStyle w:val="26"/>
        <w:tblW w:w="90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4868"/>
        <w:gridCol w:w="32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blHeader/>
          <w:jc w:val="center"/>
        </w:trPr>
        <w:tc>
          <w:tcPr>
            <w:tcW w:w="846" w:type="dxa"/>
            <w:noWrap w:val="0"/>
            <w:vAlign w:val="center"/>
          </w:tcPr>
          <w:p>
            <w:pPr>
              <w:spacing w:before="0" w:beforeLines="0" w:afterLines="0"/>
              <w:jc w:val="center"/>
              <w:rPr>
                <w:rFonts w:hint="eastAsia" w:eastAsia="方正黑体_GBK" w:cs="方正黑体_GBK"/>
                <w:b w:val="0"/>
                <w:bCs w:val="0"/>
              </w:rPr>
            </w:pPr>
            <w:r>
              <w:rPr>
                <w:rFonts w:hint="eastAsia" w:eastAsia="方正黑体_GBK" w:cs="方正黑体_GBK"/>
                <w:b w:val="0"/>
                <w:bCs w:val="0"/>
              </w:rPr>
              <w:t>序号</w:t>
            </w:r>
          </w:p>
        </w:tc>
        <w:tc>
          <w:tcPr>
            <w:tcW w:w="4868" w:type="dxa"/>
            <w:noWrap w:val="0"/>
            <w:vAlign w:val="center"/>
          </w:tcPr>
          <w:p>
            <w:pPr>
              <w:spacing w:before="0" w:beforeLines="0" w:afterLines="0"/>
              <w:jc w:val="center"/>
              <w:rPr>
                <w:rFonts w:hint="eastAsia" w:eastAsia="方正黑体_GBK" w:cs="方正黑体_GBK"/>
                <w:b w:val="0"/>
                <w:bCs w:val="0"/>
              </w:rPr>
            </w:pPr>
            <w:r>
              <w:rPr>
                <w:rFonts w:hint="eastAsia" w:eastAsia="方正黑体_GBK" w:cs="方正黑体_GBK"/>
                <w:b w:val="0"/>
                <w:bCs w:val="0"/>
              </w:rPr>
              <w:t>单  位</w:t>
            </w:r>
          </w:p>
        </w:tc>
        <w:tc>
          <w:tcPr>
            <w:tcW w:w="3298" w:type="dxa"/>
            <w:noWrap w:val="0"/>
            <w:vAlign w:val="center"/>
          </w:tcPr>
          <w:p>
            <w:pPr>
              <w:spacing w:before="0" w:beforeLines="0" w:afterLines="0"/>
              <w:jc w:val="center"/>
              <w:rPr>
                <w:rFonts w:hint="eastAsia" w:eastAsia="方正黑体_GBK" w:cs="方正黑体_GBK"/>
                <w:b w:val="0"/>
                <w:bCs w:val="0"/>
              </w:rPr>
            </w:pPr>
            <w:r>
              <w:rPr>
                <w:rFonts w:hint="eastAsia" w:eastAsia="方正黑体_GBK" w:cs="方正黑体_GBK"/>
                <w:b w:val="0"/>
                <w:bCs w:val="0"/>
              </w:rPr>
              <w:t>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w:t>
            </w:r>
          </w:p>
        </w:tc>
        <w:tc>
          <w:tcPr>
            <w:tcW w:w="4868" w:type="dxa"/>
            <w:noWrap w:val="0"/>
            <w:vAlign w:val="center"/>
          </w:tcPr>
          <w:p>
            <w:pPr>
              <w:spacing w:before="0" w:beforeLines="0" w:afterLines="0"/>
              <w:jc w:val="center"/>
              <w:rPr>
                <w:rFonts w:hint="eastAsia"/>
                <w:b w:val="0"/>
                <w:bCs w:val="0"/>
              </w:rPr>
            </w:pPr>
            <w:r>
              <w:rPr>
                <w:rFonts w:hint="eastAsia"/>
                <w:b w:val="0"/>
                <w:bCs w:val="0"/>
              </w:rPr>
              <w:t>县政府办公室</w:t>
            </w:r>
          </w:p>
        </w:tc>
        <w:tc>
          <w:tcPr>
            <w:tcW w:w="3298" w:type="dxa"/>
            <w:noWrap w:val="0"/>
            <w:vAlign w:val="center"/>
          </w:tcPr>
          <w:p>
            <w:pPr>
              <w:spacing w:before="0" w:beforeLines="0" w:afterLines="0"/>
              <w:jc w:val="center"/>
              <w:rPr>
                <w:rFonts w:hint="eastAsia"/>
                <w:b w:val="0"/>
                <w:bCs w:val="0"/>
              </w:rPr>
            </w:pPr>
            <w:r>
              <w:rPr>
                <w:rFonts w:hint="eastAsia"/>
                <w:b w:val="0"/>
                <w:bCs w:val="0"/>
              </w:rPr>
              <w:t>51528306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w:t>
            </w:r>
          </w:p>
        </w:tc>
        <w:tc>
          <w:tcPr>
            <w:tcW w:w="4868" w:type="dxa"/>
            <w:noWrap w:val="0"/>
            <w:vAlign w:val="center"/>
          </w:tcPr>
          <w:p>
            <w:pPr>
              <w:spacing w:before="0" w:beforeLines="0" w:afterLines="0"/>
              <w:jc w:val="center"/>
              <w:rPr>
                <w:rFonts w:hint="eastAsia"/>
                <w:b w:val="0"/>
                <w:bCs w:val="0"/>
              </w:rPr>
            </w:pPr>
            <w:r>
              <w:rPr>
                <w:rFonts w:hint="eastAsia"/>
                <w:b w:val="0"/>
                <w:bCs w:val="0"/>
              </w:rPr>
              <w:t>县委宣传部</w:t>
            </w:r>
          </w:p>
        </w:tc>
        <w:tc>
          <w:tcPr>
            <w:tcW w:w="3298" w:type="dxa"/>
            <w:noWrap w:val="0"/>
            <w:vAlign w:val="center"/>
          </w:tcPr>
          <w:p>
            <w:pPr>
              <w:spacing w:before="0" w:beforeLines="0" w:afterLines="0"/>
              <w:jc w:val="center"/>
              <w:rPr>
                <w:b w:val="0"/>
                <w:bCs w:val="0"/>
              </w:rPr>
            </w:pPr>
            <w:r>
              <w:rPr>
                <w:rFonts w:hint="eastAsia"/>
                <w:b w:val="0"/>
                <w:bCs w:val="0"/>
              </w:rPr>
              <w:t>51522116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3</w:t>
            </w:r>
          </w:p>
        </w:tc>
        <w:tc>
          <w:tcPr>
            <w:tcW w:w="4868" w:type="dxa"/>
            <w:noWrap w:val="0"/>
            <w:vAlign w:val="center"/>
          </w:tcPr>
          <w:p>
            <w:pPr>
              <w:spacing w:before="0" w:beforeLines="0" w:afterLines="0"/>
              <w:jc w:val="center"/>
              <w:rPr>
                <w:rFonts w:hint="eastAsia"/>
                <w:b w:val="0"/>
                <w:bCs w:val="0"/>
              </w:rPr>
            </w:pPr>
            <w:r>
              <w:rPr>
                <w:rFonts w:hint="eastAsia"/>
                <w:b w:val="0"/>
                <w:bCs w:val="0"/>
              </w:rPr>
              <w:t>县教委</w:t>
            </w:r>
          </w:p>
        </w:tc>
        <w:tc>
          <w:tcPr>
            <w:tcW w:w="3298" w:type="dxa"/>
            <w:noWrap w:val="0"/>
            <w:vAlign w:val="center"/>
          </w:tcPr>
          <w:p>
            <w:pPr>
              <w:spacing w:before="0" w:beforeLines="0" w:afterLines="0"/>
              <w:jc w:val="center"/>
              <w:rPr>
                <w:b w:val="0"/>
                <w:bCs w:val="0"/>
              </w:rPr>
            </w:pPr>
            <w:r>
              <w:rPr>
                <w:rFonts w:hint="eastAsia"/>
                <w:b w:val="0"/>
                <w:bCs w:val="0"/>
              </w:rPr>
              <w:t>51523060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4</w:t>
            </w:r>
          </w:p>
        </w:tc>
        <w:tc>
          <w:tcPr>
            <w:tcW w:w="4868" w:type="dxa"/>
            <w:noWrap w:val="0"/>
            <w:vAlign w:val="center"/>
          </w:tcPr>
          <w:p>
            <w:pPr>
              <w:spacing w:before="0" w:beforeLines="0" w:afterLines="0"/>
              <w:jc w:val="center"/>
              <w:rPr>
                <w:rFonts w:hint="eastAsia"/>
                <w:b w:val="0"/>
                <w:bCs w:val="0"/>
              </w:rPr>
            </w:pPr>
            <w:r>
              <w:rPr>
                <w:rFonts w:hint="eastAsia"/>
                <w:b w:val="0"/>
                <w:bCs w:val="0"/>
              </w:rPr>
              <w:t>县经济信息委</w:t>
            </w:r>
          </w:p>
        </w:tc>
        <w:tc>
          <w:tcPr>
            <w:tcW w:w="3298" w:type="dxa"/>
            <w:noWrap w:val="0"/>
            <w:vAlign w:val="center"/>
          </w:tcPr>
          <w:p>
            <w:pPr>
              <w:spacing w:before="0" w:beforeLines="0" w:afterLines="0"/>
              <w:jc w:val="center"/>
              <w:rPr>
                <w:rFonts w:hint="eastAsia"/>
                <w:b w:val="0"/>
                <w:bCs w:val="0"/>
              </w:rPr>
            </w:pPr>
            <w:r>
              <w:rPr>
                <w:rFonts w:hint="eastAsia"/>
                <w:b w:val="0"/>
                <w:bCs w:val="0"/>
              </w:rPr>
              <w:t>51522842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5</w:t>
            </w:r>
          </w:p>
        </w:tc>
        <w:tc>
          <w:tcPr>
            <w:tcW w:w="4868" w:type="dxa"/>
            <w:noWrap w:val="0"/>
            <w:vAlign w:val="center"/>
          </w:tcPr>
          <w:p>
            <w:pPr>
              <w:spacing w:before="0" w:beforeLines="0" w:afterLines="0"/>
              <w:jc w:val="center"/>
              <w:rPr>
                <w:rFonts w:hint="eastAsia"/>
                <w:b w:val="0"/>
                <w:bCs w:val="0"/>
              </w:rPr>
            </w:pPr>
            <w:r>
              <w:rPr>
                <w:rFonts w:hint="eastAsia"/>
                <w:b w:val="0"/>
                <w:bCs w:val="0"/>
              </w:rPr>
              <w:t>县公安局</w:t>
            </w:r>
          </w:p>
        </w:tc>
        <w:tc>
          <w:tcPr>
            <w:tcW w:w="3298" w:type="dxa"/>
            <w:noWrap w:val="0"/>
            <w:vAlign w:val="center"/>
          </w:tcPr>
          <w:p>
            <w:pPr>
              <w:spacing w:before="0" w:beforeLines="0" w:afterLines="0"/>
              <w:jc w:val="center"/>
              <w:rPr>
                <w:rFonts w:hint="eastAsia"/>
                <w:b w:val="0"/>
                <w:bCs w:val="0"/>
              </w:rPr>
            </w:pPr>
            <w:r>
              <w:rPr>
                <w:rFonts w:hint="eastAsia"/>
                <w:b w:val="0"/>
                <w:bCs w:val="0"/>
              </w:rPr>
              <w:t>51229000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6</w:t>
            </w:r>
          </w:p>
        </w:tc>
        <w:tc>
          <w:tcPr>
            <w:tcW w:w="4868" w:type="dxa"/>
            <w:noWrap w:val="0"/>
            <w:vAlign w:val="center"/>
          </w:tcPr>
          <w:p>
            <w:pPr>
              <w:spacing w:before="0" w:beforeLines="0" w:afterLines="0"/>
              <w:jc w:val="center"/>
              <w:rPr>
                <w:rFonts w:hint="eastAsia"/>
                <w:b w:val="0"/>
                <w:bCs w:val="0"/>
              </w:rPr>
            </w:pPr>
            <w:r>
              <w:rPr>
                <w:rFonts w:hint="eastAsia"/>
                <w:b w:val="0"/>
                <w:bCs w:val="0"/>
              </w:rPr>
              <w:t>县民政局</w:t>
            </w:r>
          </w:p>
        </w:tc>
        <w:tc>
          <w:tcPr>
            <w:tcW w:w="3298" w:type="dxa"/>
            <w:noWrap w:val="0"/>
            <w:vAlign w:val="center"/>
          </w:tcPr>
          <w:p>
            <w:pPr>
              <w:spacing w:before="0" w:beforeLines="0" w:afterLines="0"/>
              <w:jc w:val="center"/>
              <w:rPr>
                <w:rFonts w:hint="eastAsia"/>
                <w:b w:val="0"/>
                <w:bCs w:val="0"/>
              </w:rPr>
            </w:pPr>
            <w:r>
              <w:rPr>
                <w:rFonts w:hint="eastAsia"/>
                <w:b w:val="0"/>
                <w:bCs w:val="0"/>
              </w:rPr>
              <w:t>51515966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7</w:t>
            </w:r>
          </w:p>
        </w:tc>
        <w:tc>
          <w:tcPr>
            <w:tcW w:w="4868" w:type="dxa"/>
            <w:noWrap w:val="0"/>
            <w:vAlign w:val="center"/>
          </w:tcPr>
          <w:p>
            <w:pPr>
              <w:spacing w:before="0" w:beforeLines="0" w:afterLines="0"/>
              <w:jc w:val="center"/>
              <w:rPr>
                <w:rFonts w:hint="eastAsia"/>
                <w:b w:val="0"/>
                <w:bCs w:val="0"/>
              </w:rPr>
            </w:pPr>
            <w:r>
              <w:rPr>
                <w:rFonts w:hint="eastAsia"/>
                <w:b w:val="0"/>
                <w:bCs w:val="0"/>
              </w:rPr>
              <w:t>县财政局</w:t>
            </w:r>
          </w:p>
        </w:tc>
        <w:tc>
          <w:tcPr>
            <w:tcW w:w="3298" w:type="dxa"/>
            <w:noWrap w:val="0"/>
            <w:vAlign w:val="center"/>
          </w:tcPr>
          <w:p>
            <w:pPr>
              <w:spacing w:before="0" w:beforeLines="0" w:afterLines="0"/>
              <w:jc w:val="center"/>
              <w:rPr>
                <w:b w:val="0"/>
                <w:bCs w:val="0"/>
              </w:rPr>
            </w:pPr>
            <w:r>
              <w:rPr>
                <w:rFonts w:hint="eastAsia"/>
                <w:b w:val="0"/>
                <w:bCs w:val="0"/>
              </w:rPr>
              <w:t>51522032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8</w:t>
            </w:r>
          </w:p>
        </w:tc>
        <w:tc>
          <w:tcPr>
            <w:tcW w:w="4868" w:type="dxa"/>
            <w:noWrap w:val="0"/>
            <w:vAlign w:val="center"/>
          </w:tcPr>
          <w:p>
            <w:pPr>
              <w:spacing w:before="0" w:beforeLines="0" w:afterLines="0"/>
              <w:jc w:val="center"/>
              <w:rPr>
                <w:rFonts w:hint="eastAsia"/>
                <w:b w:val="0"/>
                <w:bCs w:val="0"/>
              </w:rPr>
            </w:pPr>
            <w:r>
              <w:rPr>
                <w:rFonts w:hint="eastAsia"/>
                <w:b w:val="0"/>
                <w:bCs w:val="0"/>
              </w:rPr>
              <w:t>县规划自然资源局</w:t>
            </w:r>
          </w:p>
        </w:tc>
        <w:tc>
          <w:tcPr>
            <w:tcW w:w="3298" w:type="dxa"/>
            <w:noWrap w:val="0"/>
            <w:vAlign w:val="center"/>
          </w:tcPr>
          <w:p>
            <w:pPr>
              <w:spacing w:before="0" w:beforeLines="0" w:afterLines="0"/>
              <w:jc w:val="center"/>
              <w:rPr>
                <w:b w:val="0"/>
                <w:bCs w:val="0"/>
              </w:rPr>
            </w:pPr>
            <w:r>
              <w:rPr>
                <w:rFonts w:hint="eastAsia"/>
                <w:b w:val="0"/>
                <w:bCs w:val="0"/>
              </w:rPr>
              <w:t>51522208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9</w:t>
            </w:r>
          </w:p>
        </w:tc>
        <w:tc>
          <w:tcPr>
            <w:tcW w:w="4868" w:type="dxa"/>
            <w:noWrap w:val="0"/>
            <w:vAlign w:val="center"/>
          </w:tcPr>
          <w:p>
            <w:pPr>
              <w:spacing w:before="0" w:beforeLines="0" w:afterLines="0"/>
              <w:jc w:val="center"/>
              <w:rPr>
                <w:rFonts w:hint="eastAsia"/>
                <w:b w:val="0"/>
                <w:bCs w:val="0"/>
              </w:rPr>
            </w:pPr>
            <w:r>
              <w:rPr>
                <w:rFonts w:hint="eastAsia"/>
                <w:b w:val="0"/>
                <w:bCs w:val="0"/>
              </w:rPr>
              <w:t>县生态环境局</w:t>
            </w:r>
          </w:p>
        </w:tc>
        <w:tc>
          <w:tcPr>
            <w:tcW w:w="3298" w:type="dxa"/>
            <w:noWrap w:val="0"/>
            <w:vAlign w:val="center"/>
          </w:tcPr>
          <w:p>
            <w:pPr>
              <w:spacing w:before="0" w:beforeLines="0" w:afterLines="0"/>
              <w:jc w:val="center"/>
              <w:rPr>
                <w:rFonts w:hint="eastAsia"/>
                <w:b w:val="0"/>
                <w:bCs w:val="0"/>
              </w:rPr>
            </w:pPr>
            <w:r>
              <w:rPr>
                <w:rFonts w:hint="eastAsia"/>
                <w:b w:val="0"/>
                <w:bCs w:val="0"/>
              </w:rPr>
              <w:t>51522557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10</w:t>
            </w:r>
          </w:p>
        </w:tc>
        <w:tc>
          <w:tcPr>
            <w:tcW w:w="4868" w:type="dxa"/>
            <w:noWrap w:val="0"/>
            <w:vAlign w:val="center"/>
          </w:tcPr>
          <w:p>
            <w:pPr>
              <w:spacing w:before="0" w:beforeLines="0" w:afterLines="0"/>
              <w:jc w:val="center"/>
              <w:rPr>
                <w:rFonts w:hint="eastAsia"/>
                <w:b w:val="0"/>
                <w:bCs w:val="0"/>
              </w:rPr>
            </w:pPr>
            <w:r>
              <w:rPr>
                <w:rFonts w:hint="eastAsia"/>
                <w:b w:val="0"/>
                <w:bCs w:val="0"/>
              </w:rPr>
              <w:t>县住房城乡建委</w:t>
            </w:r>
          </w:p>
        </w:tc>
        <w:tc>
          <w:tcPr>
            <w:tcW w:w="3298" w:type="dxa"/>
            <w:noWrap w:val="0"/>
            <w:vAlign w:val="center"/>
          </w:tcPr>
          <w:p>
            <w:pPr>
              <w:spacing w:before="0" w:beforeLines="0" w:afterLines="0"/>
              <w:jc w:val="center"/>
              <w:rPr>
                <w:rFonts w:hint="eastAsia"/>
                <w:b w:val="0"/>
                <w:bCs w:val="0"/>
              </w:rPr>
            </w:pPr>
            <w:r>
              <w:rPr>
                <w:rFonts w:hint="eastAsia"/>
                <w:b w:val="0"/>
                <w:bCs w:val="0"/>
              </w:rPr>
              <w:t>51522013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11</w:t>
            </w:r>
          </w:p>
        </w:tc>
        <w:tc>
          <w:tcPr>
            <w:tcW w:w="4868" w:type="dxa"/>
            <w:noWrap w:val="0"/>
            <w:vAlign w:val="center"/>
          </w:tcPr>
          <w:p>
            <w:pPr>
              <w:spacing w:before="0" w:beforeLines="0" w:afterLines="0"/>
              <w:jc w:val="center"/>
              <w:rPr>
                <w:rFonts w:hint="eastAsia"/>
                <w:b w:val="0"/>
                <w:bCs w:val="0"/>
              </w:rPr>
            </w:pPr>
            <w:r>
              <w:rPr>
                <w:rFonts w:hint="eastAsia"/>
                <w:b w:val="0"/>
                <w:bCs w:val="0"/>
              </w:rPr>
              <w:t>县城市管理局</w:t>
            </w:r>
          </w:p>
        </w:tc>
        <w:tc>
          <w:tcPr>
            <w:tcW w:w="3298" w:type="dxa"/>
            <w:noWrap w:val="0"/>
            <w:vAlign w:val="center"/>
          </w:tcPr>
          <w:p>
            <w:pPr>
              <w:spacing w:before="0" w:beforeLines="0" w:afterLines="0"/>
              <w:jc w:val="center"/>
              <w:rPr>
                <w:rFonts w:hint="eastAsia"/>
                <w:b w:val="0"/>
                <w:bCs w:val="0"/>
              </w:rPr>
            </w:pPr>
            <w:r>
              <w:rPr>
                <w:rFonts w:hint="eastAsia"/>
                <w:b w:val="0"/>
                <w:bCs w:val="0"/>
              </w:rPr>
              <w:t>51529600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12</w:t>
            </w:r>
          </w:p>
        </w:tc>
        <w:tc>
          <w:tcPr>
            <w:tcW w:w="4868" w:type="dxa"/>
            <w:noWrap w:val="0"/>
            <w:vAlign w:val="center"/>
          </w:tcPr>
          <w:p>
            <w:pPr>
              <w:spacing w:before="0" w:beforeLines="0" w:afterLines="0"/>
              <w:jc w:val="center"/>
              <w:rPr>
                <w:rFonts w:hint="eastAsia"/>
                <w:b w:val="0"/>
                <w:bCs w:val="0"/>
              </w:rPr>
            </w:pPr>
            <w:r>
              <w:rPr>
                <w:rFonts w:hint="eastAsia"/>
                <w:b w:val="0"/>
                <w:bCs w:val="0"/>
              </w:rPr>
              <w:t>县交通局</w:t>
            </w:r>
          </w:p>
        </w:tc>
        <w:tc>
          <w:tcPr>
            <w:tcW w:w="3298" w:type="dxa"/>
            <w:noWrap w:val="0"/>
            <w:vAlign w:val="center"/>
          </w:tcPr>
          <w:p>
            <w:pPr>
              <w:spacing w:before="0" w:beforeLines="0" w:afterLines="0"/>
              <w:jc w:val="center"/>
              <w:rPr>
                <w:rFonts w:hint="eastAsia"/>
                <w:b w:val="0"/>
                <w:bCs w:val="0"/>
              </w:rPr>
            </w:pPr>
            <w:r>
              <w:rPr>
                <w:rFonts w:hint="eastAsia"/>
                <w:b w:val="0"/>
                <w:bCs w:val="0"/>
              </w:rPr>
              <w:t>51522518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13</w:t>
            </w:r>
          </w:p>
        </w:tc>
        <w:tc>
          <w:tcPr>
            <w:tcW w:w="4868" w:type="dxa"/>
            <w:noWrap w:val="0"/>
            <w:vAlign w:val="center"/>
          </w:tcPr>
          <w:p>
            <w:pPr>
              <w:spacing w:before="0" w:beforeLines="0" w:afterLines="0"/>
              <w:jc w:val="center"/>
              <w:rPr>
                <w:rFonts w:hint="eastAsia"/>
                <w:b w:val="0"/>
                <w:bCs w:val="0"/>
              </w:rPr>
            </w:pPr>
            <w:r>
              <w:rPr>
                <w:rFonts w:hint="eastAsia"/>
                <w:b w:val="0"/>
                <w:bCs w:val="0"/>
              </w:rPr>
              <w:t>县农业农村委</w:t>
            </w:r>
          </w:p>
        </w:tc>
        <w:tc>
          <w:tcPr>
            <w:tcW w:w="3298" w:type="dxa"/>
            <w:noWrap w:val="0"/>
            <w:vAlign w:val="center"/>
          </w:tcPr>
          <w:p>
            <w:pPr>
              <w:spacing w:before="0" w:beforeLines="0" w:afterLines="0"/>
              <w:jc w:val="center"/>
              <w:rPr>
                <w:rFonts w:hint="eastAsia"/>
                <w:b w:val="0"/>
                <w:bCs w:val="0"/>
              </w:rPr>
            </w:pPr>
            <w:r>
              <w:rPr>
                <w:b w:val="0"/>
                <w:bCs w:val="0"/>
              </w:rPr>
              <w:t>51522326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14</w:t>
            </w:r>
          </w:p>
        </w:tc>
        <w:tc>
          <w:tcPr>
            <w:tcW w:w="4868" w:type="dxa"/>
            <w:noWrap w:val="0"/>
            <w:vAlign w:val="center"/>
          </w:tcPr>
          <w:p>
            <w:pPr>
              <w:spacing w:before="0" w:beforeLines="0" w:afterLines="0"/>
              <w:jc w:val="center"/>
              <w:rPr>
                <w:rFonts w:hint="eastAsia"/>
                <w:b w:val="0"/>
                <w:bCs w:val="0"/>
              </w:rPr>
            </w:pPr>
            <w:r>
              <w:rPr>
                <w:rFonts w:hint="eastAsia"/>
                <w:b w:val="0"/>
                <w:bCs w:val="0"/>
              </w:rPr>
              <w:t>县商务委</w:t>
            </w:r>
          </w:p>
        </w:tc>
        <w:tc>
          <w:tcPr>
            <w:tcW w:w="3298" w:type="dxa"/>
            <w:noWrap w:val="0"/>
            <w:vAlign w:val="center"/>
          </w:tcPr>
          <w:p>
            <w:pPr>
              <w:spacing w:before="0" w:beforeLines="0" w:afterLines="0"/>
              <w:jc w:val="center"/>
              <w:rPr>
                <w:rFonts w:hint="eastAsia"/>
                <w:b w:val="0"/>
                <w:bCs w:val="0"/>
              </w:rPr>
            </w:pPr>
            <w:r>
              <w:rPr>
                <w:rFonts w:hint="eastAsia"/>
                <w:b w:val="0"/>
                <w:bCs w:val="0"/>
              </w:rPr>
              <w:t>51522862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15</w:t>
            </w:r>
          </w:p>
        </w:tc>
        <w:tc>
          <w:tcPr>
            <w:tcW w:w="4868" w:type="dxa"/>
            <w:noWrap w:val="0"/>
            <w:vAlign w:val="center"/>
          </w:tcPr>
          <w:p>
            <w:pPr>
              <w:spacing w:before="0" w:beforeLines="0" w:afterLines="0"/>
              <w:jc w:val="center"/>
              <w:rPr>
                <w:rFonts w:hint="eastAsia"/>
                <w:b w:val="0"/>
                <w:bCs w:val="0"/>
              </w:rPr>
            </w:pPr>
            <w:r>
              <w:rPr>
                <w:rFonts w:hint="eastAsia"/>
                <w:b w:val="0"/>
                <w:bCs w:val="0"/>
              </w:rPr>
              <w:t>县卫生健康委</w:t>
            </w:r>
          </w:p>
        </w:tc>
        <w:tc>
          <w:tcPr>
            <w:tcW w:w="3298" w:type="dxa"/>
            <w:noWrap w:val="0"/>
            <w:vAlign w:val="center"/>
          </w:tcPr>
          <w:p>
            <w:pPr>
              <w:spacing w:before="0" w:beforeLines="0" w:afterLines="0"/>
              <w:jc w:val="center"/>
              <w:rPr>
                <w:rFonts w:hint="eastAsia"/>
                <w:b w:val="0"/>
                <w:bCs w:val="0"/>
              </w:rPr>
            </w:pPr>
            <w:r>
              <w:rPr>
                <w:rFonts w:hint="eastAsia"/>
                <w:b w:val="0"/>
                <w:bCs w:val="0"/>
              </w:rPr>
              <w:t>51524319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16</w:t>
            </w:r>
          </w:p>
        </w:tc>
        <w:tc>
          <w:tcPr>
            <w:tcW w:w="4868" w:type="dxa"/>
            <w:noWrap w:val="0"/>
            <w:vAlign w:val="center"/>
          </w:tcPr>
          <w:p>
            <w:pPr>
              <w:spacing w:before="0" w:beforeLines="0" w:afterLines="0"/>
              <w:jc w:val="center"/>
              <w:rPr>
                <w:rFonts w:hint="eastAsia"/>
                <w:b w:val="0"/>
                <w:bCs w:val="0"/>
              </w:rPr>
            </w:pPr>
            <w:r>
              <w:rPr>
                <w:rFonts w:hint="eastAsia"/>
                <w:b w:val="0"/>
                <w:bCs w:val="0"/>
              </w:rPr>
              <w:t>县应急局</w:t>
            </w:r>
          </w:p>
        </w:tc>
        <w:tc>
          <w:tcPr>
            <w:tcW w:w="3298" w:type="dxa"/>
            <w:noWrap w:val="0"/>
            <w:vAlign w:val="center"/>
          </w:tcPr>
          <w:p>
            <w:pPr>
              <w:spacing w:before="0" w:beforeLines="0" w:afterLines="0"/>
              <w:jc w:val="center"/>
              <w:rPr>
                <w:rFonts w:hint="eastAsia"/>
                <w:b w:val="0"/>
                <w:bCs w:val="0"/>
              </w:rPr>
            </w:pPr>
            <w:r>
              <w:rPr>
                <w:rFonts w:hint="eastAsia"/>
                <w:b w:val="0"/>
                <w:bCs w:val="0"/>
              </w:rPr>
              <w:t>51522817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17</w:t>
            </w:r>
          </w:p>
        </w:tc>
        <w:tc>
          <w:tcPr>
            <w:tcW w:w="4868" w:type="dxa"/>
            <w:noWrap w:val="0"/>
            <w:vAlign w:val="center"/>
          </w:tcPr>
          <w:p>
            <w:pPr>
              <w:spacing w:before="0" w:beforeLines="0" w:afterLines="0"/>
              <w:jc w:val="center"/>
              <w:rPr>
                <w:rFonts w:hint="eastAsia"/>
                <w:b w:val="0"/>
                <w:bCs w:val="0"/>
              </w:rPr>
            </w:pPr>
            <w:r>
              <w:rPr>
                <w:rFonts w:hint="eastAsia"/>
                <w:b w:val="0"/>
                <w:bCs w:val="0"/>
              </w:rPr>
              <w:t>县市场监管局</w:t>
            </w:r>
          </w:p>
        </w:tc>
        <w:tc>
          <w:tcPr>
            <w:tcW w:w="3298" w:type="dxa"/>
            <w:noWrap w:val="0"/>
            <w:vAlign w:val="center"/>
          </w:tcPr>
          <w:p>
            <w:pPr>
              <w:spacing w:before="0" w:beforeLines="0" w:afterLines="0"/>
              <w:jc w:val="center"/>
              <w:rPr>
                <w:rFonts w:hint="eastAsia"/>
                <w:b w:val="0"/>
                <w:bCs w:val="0"/>
              </w:rPr>
            </w:pPr>
            <w:r>
              <w:rPr>
                <w:rFonts w:hint="eastAsia"/>
                <w:b w:val="0"/>
                <w:bCs w:val="0"/>
              </w:rPr>
              <w:t>51522241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18</w:t>
            </w:r>
          </w:p>
        </w:tc>
        <w:tc>
          <w:tcPr>
            <w:tcW w:w="4868" w:type="dxa"/>
            <w:noWrap w:val="0"/>
            <w:vAlign w:val="center"/>
          </w:tcPr>
          <w:p>
            <w:pPr>
              <w:spacing w:before="0" w:beforeLines="0" w:afterLines="0"/>
              <w:jc w:val="center"/>
              <w:rPr>
                <w:rFonts w:hint="eastAsia"/>
                <w:b w:val="0"/>
                <w:bCs w:val="0"/>
              </w:rPr>
            </w:pPr>
            <w:r>
              <w:rPr>
                <w:rFonts w:hint="eastAsia"/>
                <w:b w:val="0"/>
                <w:bCs w:val="0"/>
              </w:rPr>
              <w:t>工业园区管委会</w:t>
            </w:r>
          </w:p>
        </w:tc>
        <w:tc>
          <w:tcPr>
            <w:tcW w:w="3298" w:type="dxa"/>
            <w:noWrap w:val="0"/>
            <w:vAlign w:val="center"/>
          </w:tcPr>
          <w:p>
            <w:pPr>
              <w:spacing w:before="0" w:beforeLines="0" w:afterLines="0"/>
              <w:jc w:val="center"/>
              <w:rPr>
                <w:rFonts w:hint="eastAsia"/>
                <w:b w:val="0"/>
                <w:bCs w:val="0"/>
              </w:rPr>
            </w:pPr>
            <w:r>
              <w:rPr>
                <w:rFonts w:hint="eastAsia"/>
                <w:b w:val="0"/>
                <w:bCs w:val="0"/>
              </w:rPr>
              <w:t>51531063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19</w:t>
            </w:r>
          </w:p>
        </w:tc>
        <w:tc>
          <w:tcPr>
            <w:tcW w:w="4868" w:type="dxa"/>
            <w:noWrap w:val="0"/>
            <w:vAlign w:val="center"/>
          </w:tcPr>
          <w:p>
            <w:pPr>
              <w:spacing w:before="0" w:beforeLines="0" w:afterLines="0"/>
              <w:jc w:val="center"/>
              <w:rPr>
                <w:rFonts w:hint="eastAsia"/>
                <w:b w:val="0"/>
                <w:bCs w:val="0"/>
              </w:rPr>
            </w:pPr>
            <w:r>
              <w:rPr>
                <w:rFonts w:hint="eastAsia"/>
                <w:b w:val="0"/>
                <w:bCs w:val="0"/>
              </w:rPr>
              <w:t>县融媒体中心（电视台）</w:t>
            </w:r>
          </w:p>
        </w:tc>
        <w:tc>
          <w:tcPr>
            <w:tcW w:w="3298" w:type="dxa"/>
            <w:noWrap w:val="0"/>
            <w:vAlign w:val="center"/>
          </w:tcPr>
          <w:p>
            <w:pPr>
              <w:spacing w:before="0" w:beforeLines="0" w:afterLines="0"/>
              <w:jc w:val="center"/>
              <w:rPr>
                <w:rFonts w:hint="eastAsia"/>
                <w:b w:val="0"/>
                <w:bCs w:val="0"/>
              </w:rPr>
            </w:pPr>
            <w:r>
              <w:rPr>
                <w:rFonts w:hint="eastAsia"/>
                <w:b w:val="0"/>
                <w:bCs w:val="0"/>
              </w:rPr>
              <w:t>51522488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20</w:t>
            </w:r>
          </w:p>
        </w:tc>
        <w:tc>
          <w:tcPr>
            <w:tcW w:w="4868" w:type="dxa"/>
            <w:noWrap w:val="0"/>
            <w:vAlign w:val="center"/>
          </w:tcPr>
          <w:p>
            <w:pPr>
              <w:spacing w:before="0" w:beforeLines="0" w:afterLines="0"/>
              <w:jc w:val="center"/>
              <w:rPr>
                <w:rFonts w:hint="eastAsia"/>
                <w:b w:val="0"/>
                <w:bCs w:val="0"/>
              </w:rPr>
            </w:pPr>
            <w:r>
              <w:rPr>
                <w:rFonts w:hint="eastAsia"/>
                <w:b w:val="0"/>
                <w:bCs w:val="0"/>
              </w:rPr>
              <w:t>县气象局</w:t>
            </w:r>
          </w:p>
        </w:tc>
        <w:tc>
          <w:tcPr>
            <w:tcW w:w="3298" w:type="dxa"/>
            <w:noWrap w:val="0"/>
            <w:vAlign w:val="center"/>
          </w:tcPr>
          <w:p>
            <w:pPr>
              <w:spacing w:before="0" w:beforeLines="0" w:afterLines="0"/>
              <w:jc w:val="center"/>
              <w:rPr>
                <w:b w:val="0"/>
                <w:bCs w:val="0"/>
              </w:rPr>
            </w:pPr>
            <w:r>
              <w:rPr>
                <w:rFonts w:hint="eastAsia"/>
                <w:b w:val="0"/>
                <w:bCs w:val="0"/>
              </w:rPr>
              <w:t>51811139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21</w:t>
            </w:r>
          </w:p>
        </w:tc>
        <w:tc>
          <w:tcPr>
            <w:tcW w:w="4868" w:type="dxa"/>
            <w:noWrap w:val="0"/>
            <w:vAlign w:val="center"/>
          </w:tcPr>
          <w:p>
            <w:pPr>
              <w:spacing w:before="0" w:beforeLines="0" w:afterLines="0"/>
              <w:jc w:val="center"/>
              <w:rPr>
                <w:rFonts w:hint="eastAsia"/>
                <w:b w:val="0"/>
                <w:bCs w:val="0"/>
              </w:rPr>
            </w:pPr>
            <w:r>
              <w:rPr>
                <w:rFonts w:hint="eastAsia"/>
                <w:b w:val="0"/>
                <w:bCs w:val="0"/>
              </w:rPr>
              <w:t>县机关事务中心</w:t>
            </w:r>
          </w:p>
        </w:tc>
        <w:tc>
          <w:tcPr>
            <w:tcW w:w="3298" w:type="dxa"/>
            <w:noWrap w:val="0"/>
            <w:vAlign w:val="center"/>
          </w:tcPr>
          <w:p>
            <w:pPr>
              <w:spacing w:before="0" w:beforeLines="0" w:afterLines="0"/>
              <w:jc w:val="center"/>
              <w:rPr>
                <w:b w:val="0"/>
                <w:bCs w:val="0"/>
              </w:rPr>
            </w:pPr>
            <w:r>
              <w:rPr>
                <w:rFonts w:hint="eastAsia"/>
                <w:b w:val="0"/>
                <w:bCs w:val="0"/>
              </w:rPr>
              <w:t>51728383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22</w:t>
            </w:r>
          </w:p>
        </w:tc>
        <w:tc>
          <w:tcPr>
            <w:tcW w:w="4868" w:type="dxa"/>
            <w:noWrap w:val="0"/>
            <w:vAlign w:val="center"/>
          </w:tcPr>
          <w:p>
            <w:pPr>
              <w:spacing w:before="0" w:beforeLines="0" w:afterLines="0"/>
              <w:jc w:val="center"/>
              <w:rPr>
                <w:rFonts w:hint="eastAsia"/>
                <w:b w:val="0"/>
                <w:bCs w:val="0"/>
              </w:rPr>
            </w:pPr>
            <w:r>
              <w:rPr>
                <w:rFonts w:hint="eastAsia"/>
                <w:b w:val="0"/>
                <w:bCs w:val="0"/>
              </w:rPr>
              <w:t>宁河街道办事处</w:t>
            </w:r>
          </w:p>
        </w:tc>
        <w:tc>
          <w:tcPr>
            <w:tcW w:w="3298" w:type="dxa"/>
            <w:noWrap w:val="0"/>
            <w:vAlign w:val="center"/>
          </w:tcPr>
          <w:p>
            <w:pPr>
              <w:spacing w:before="0" w:beforeLines="0" w:afterLines="0"/>
              <w:jc w:val="center"/>
              <w:rPr>
                <w:rFonts w:hint="eastAsia"/>
                <w:b w:val="0"/>
                <w:bCs w:val="0"/>
              </w:rPr>
            </w:pPr>
            <w:r>
              <w:rPr>
                <w:rFonts w:hint="eastAsia"/>
                <w:b w:val="0"/>
                <w:bCs w:val="0"/>
              </w:rPr>
              <w:t>51336983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23</w:t>
            </w:r>
          </w:p>
        </w:tc>
        <w:tc>
          <w:tcPr>
            <w:tcW w:w="4868" w:type="dxa"/>
            <w:noWrap w:val="0"/>
            <w:vAlign w:val="center"/>
          </w:tcPr>
          <w:p>
            <w:pPr>
              <w:spacing w:before="0" w:beforeLines="0" w:afterLines="0"/>
              <w:jc w:val="center"/>
              <w:rPr>
                <w:rFonts w:hint="eastAsia"/>
                <w:b w:val="0"/>
                <w:bCs w:val="0"/>
              </w:rPr>
            </w:pPr>
            <w:r>
              <w:rPr>
                <w:rFonts w:hint="eastAsia"/>
                <w:b w:val="0"/>
                <w:bCs w:val="0"/>
              </w:rPr>
              <w:t>柏杨街道办事处</w:t>
            </w:r>
          </w:p>
        </w:tc>
        <w:tc>
          <w:tcPr>
            <w:tcW w:w="3298" w:type="dxa"/>
            <w:noWrap w:val="0"/>
            <w:vAlign w:val="center"/>
          </w:tcPr>
          <w:p>
            <w:pPr>
              <w:spacing w:before="0" w:beforeLines="0" w:afterLines="0"/>
              <w:jc w:val="center"/>
              <w:rPr>
                <w:rFonts w:hint="eastAsia"/>
                <w:b w:val="0"/>
                <w:bCs w:val="0"/>
              </w:rPr>
            </w:pPr>
            <w:r>
              <w:rPr>
                <w:rFonts w:hint="eastAsia"/>
                <w:b w:val="0"/>
                <w:bCs w:val="0"/>
              </w:rPr>
              <w:t>51889990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24</w:t>
            </w:r>
          </w:p>
        </w:tc>
        <w:tc>
          <w:tcPr>
            <w:tcW w:w="4868" w:type="dxa"/>
            <w:noWrap w:val="0"/>
            <w:vAlign w:val="center"/>
          </w:tcPr>
          <w:p>
            <w:pPr>
              <w:spacing w:before="0" w:beforeLines="0" w:afterLines="0"/>
              <w:jc w:val="center"/>
              <w:rPr>
                <w:rFonts w:hint="eastAsia"/>
                <w:b w:val="0"/>
                <w:bCs w:val="0"/>
              </w:rPr>
            </w:pPr>
            <w:r>
              <w:rPr>
                <w:rFonts w:hint="eastAsia"/>
                <w:b w:val="0"/>
                <w:bCs w:val="0"/>
              </w:rPr>
              <w:t>城厢镇人民政府</w:t>
            </w:r>
          </w:p>
        </w:tc>
        <w:tc>
          <w:tcPr>
            <w:tcW w:w="3298" w:type="dxa"/>
            <w:noWrap w:val="0"/>
            <w:vAlign w:val="center"/>
          </w:tcPr>
          <w:p>
            <w:pPr>
              <w:spacing w:before="0" w:beforeLines="0" w:afterLines="0"/>
              <w:jc w:val="center"/>
              <w:rPr>
                <w:rFonts w:hint="eastAsia"/>
                <w:b w:val="0"/>
                <w:bCs w:val="0"/>
              </w:rPr>
            </w:pPr>
            <w:r>
              <w:rPr>
                <w:rFonts w:hint="eastAsia"/>
                <w:b w:val="0"/>
                <w:bCs w:val="0"/>
              </w:rPr>
              <w:t>51512223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25</w:t>
            </w:r>
          </w:p>
        </w:tc>
        <w:tc>
          <w:tcPr>
            <w:tcW w:w="4868" w:type="dxa"/>
            <w:noWrap w:val="0"/>
            <w:vAlign w:val="center"/>
          </w:tcPr>
          <w:p>
            <w:pPr>
              <w:spacing w:before="0" w:beforeLines="0" w:afterLines="0"/>
              <w:jc w:val="center"/>
              <w:rPr>
                <w:rFonts w:hint="eastAsia"/>
                <w:b w:val="0"/>
                <w:bCs w:val="0"/>
              </w:rPr>
            </w:pPr>
            <w:r>
              <w:rPr>
                <w:rFonts w:hint="eastAsia"/>
                <w:b w:val="0"/>
                <w:bCs w:val="0"/>
              </w:rPr>
              <w:t>凤凰镇人民政府</w:t>
            </w:r>
          </w:p>
        </w:tc>
        <w:tc>
          <w:tcPr>
            <w:tcW w:w="3298" w:type="dxa"/>
            <w:noWrap w:val="0"/>
            <w:vAlign w:val="center"/>
          </w:tcPr>
          <w:p>
            <w:pPr>
              <w:spacing w:before="0" w:beforeLines="0" w:afterLines="0"/>
              <w:jc w:val="center"/>
              <w:rPr>
                <w:rFonts w:hint="eastAsia"/>
                <w:b w:val="0"/>
                <w:bCs w:val="0"/>
              </w:rPr>
            </w:pPr>
            <w:r>
              <w:rPr>
                <w:rFonts w:hint="eastAsia"/>
                <w:b w:val="0"/>
                <w:bCs w:val="0"/>
              </w:rPr>
              <w:t>51631008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26</w:t>
            </w:r>
          </w:p>
        </w:tc>
        <w:tc>
          <w:tcPr>
            <w:tcW w:w="4868" w:type="dxa"/>
            <w:noWrap w:val="0"/>
            <w:vAlign w:val="center"/>
          </w:tcPr>
          <w:p>
            <w:pPr>
              <w:spacing w:before="0" w:beforeLines="0" w:afterLines="0"/>
              <w:jc w:val="center"/>
              <w:rPr>
                <w:rFonts w:hint="eastAsia"/>
                <w:b w:val="0"/>
                <w:bCs w:val="0"/>
              </w:rPr>
            </w:pPr>
            <w:r>
              <w:rPr>
                <w:rFonts w:hint="eastAsia"/>
                <w:b w:val="0"/>
                <w:bCs w:val="0"/>
              </w:rPr>
              <w:t>胜利乡人民政府</w:t>
            </w:r>
          </w:p>
        </w:tc>
        <w:tc>
          <w:tcPr>
            <w:tcW w:w="3298" w:type="dxa"/>
            <w:noWrap w:val="0"/>
            <w:vAlign w:val="center"/>
          </w:tcPr>
          <w:p>
            <w:pPr>
              <w:spacing w:before="0" w:beforeLines="0" w:afterLines="0"/>
              <w:jc w:val="center"/>
              <w:rPr>
                <w:rFonts w:hint="eastAsia"/>
                <w:b w:val="0"/>
                <w:bCs w:val="0"/>
              </w:rPr>
            </w:pPr>
            <w:r>
              <w:rPr>
                <w:rFonts w:hint="eastAsia"/>
                <w:b w:val="0"/>
                <w:bCs w:val="0"/>
              </w:rPr>
              <w:t>51638005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27</w:t>
            </w:r>
          </w:p>
        </w:tc>
        <w:tc>
          <w:tcPr>
            <w:tcW w:w="4868" w:type="dxa"/>
            <w:noWrap w:val="0"/>
            <w:vAlign w:val="center"/>
          </w:tcPr>
          <w:p>
            <w:pPr>
              <w:spacing w:before="0" w:beforeLines="0" w:afterLines="0"/>
              <w:jc w:val="center"/>
              <w:rPr>
                <w:rFonts w:hint="eastAsia"/>
                <w:b w:val="0"/>
                <w:bCs w:val="0"/>
              </w:rPr>
            </w:pPr>
            <w:r>
              <w:rPr>
                <w:rFonts w:hint="eastAsia"/>
                <w:b w:val="0"/>
                <w:bCs w:val="0"/>
              </w:rPr>
              <w:t>县供电公司</w:t>
            </w:r>
          </w:p>
        </w:tc>
        <w:tc>
          <w:tcPr>
            <w:tcW w:w="3298" w:type="dxa"/>
            <w:noWrap w:val="0"/>
            <w:vAlign w:val="center"/>
          </w:tcPr>
          <w:p>
            <w:pPr>
              <w:spacing w:before="0" w:beforeLines="0" w:afterLines="0"/>
              <w:jc w:val="center"/>
              <w:rPr>
                <w:rFonts w:hint="eastAsia"/>
                <w:b w:val="0"/>
                <w:bCs w:val="0"/>
              </w:rPr>
            </w:pPr>
            <w:r>
              <w:rPr>
                <w:rFonts w:hint="eastAsia"/>
                <w:b w:val="0"/>
                <w:bCs w:val="0"/>
              </w:rPr>
              <w:t>51223022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rFonts w:hint="eastAsia"/>
                <w:b w:val="0"/>
                <w:bCs w:val="0"/>
              </w:rPr>
            </w:pPr>
            <w:r>
              <w:rPr>
                <w:rFonts w:hint="eastAsia"/>
                <w:b w:val="0"/>
                <w:bCs w:val="0"/>
              </w:rPr>
              <w:t>28</w:t>
            </w:r>
          </w:p>
        </w:tc>
        <w:tc>
          <w:tcPr>
            <w:tcW w:w="4868" w:type="dxa"/>
            <w:noWrap w:val="0"/>
            <w:vAlign w:val="center"/>
          </w:tcPr>
          <w:p>
            <w:pPr>
              <w:spacing w:before="0" w:beforeLines="0" w:afterLines="0"/>
              <w:jc w:val="center"/>
              <w:rPr>
                <w:rFonts w:hint="eastAsia"/>
                <w:b w:val="0"/>
                <w:bCs w:val="0"/>
              </w:rPr>
            </w:pPr>
            <w:r>
              <w:rPr>
                <w:rFonts w:hint="eastAsia"/>
                <w:b w:val="0"/>
                <w:bCs w:val="0"/>
              </w:rPr>
              <w:t>中国移动巫溪分公司</w:t>
            </w:r>
          </w:p>
        </w:tc>
        <w:tc>
          <w:tcPr>
            <w:tcW w:w="3298" w:type="dxa"/>
            <w:noWrap w:val="0"/>
            <w:vAlign w:val="center"/>
          </w:tcPr>
          <w:p>
            <w:pPr>
              <w:spacing w:before="0" w:beforeLines="0" w:afterLines="0"/>
              <w:jc w:val="center"/>
              <w:rPr>
                <w:rFonts w:hint="eastAsia"/>
                <w:b w:val="0"/>
                <w:bCs w:val="0"/>
              </w:rPr>
            </w:pPr>
            <w:r>
              <w:rPr>
                <w:rFonts w:hint="eastAsia"/>
                <w:b w:val="0"/>
                <w:bCs w:val="0"/>
              </w:rPr>
              <w:t>13594741398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29</w:t>
            </w:r>
          </w:p>
        </w:tc>
        <w:tc>
          <w:tcPr>
            <w:tcW w:w="4868" w:type="dxa"/>
            <w:noWrap w:val="0"/>
            <w:vAlign w:val="center"/>
          </w:tcPr>
          <w:p>
            <w:pPr>
              <w:spacing w:before="0" w:beforeLines="0" w:afterLines="0"/>
              <w:jc w:val="center"/>
              <w:rPr>
                <w:rFonts w:hint="eastAsia"/>
                <w:b w:val="0"/>
                <w:bCs w:val="0"/>
              </w:rPr>
            </w:pPr>
            <w:r>
              <w:rPr>
                <w:rFonts w:hint="eastAsia"/>
                <w:b w:val="0"/>
                <w:bCs w:val="0"/>
              </w:rPr>
              <w:t>中国电信巫溪分公司</w:t>
            </w:r>
          </w:p>
        </w:tc>
        <w:tc>
          <w:tcPr>
            <w:tcW w:w="3298" w:type="dxa"/>
            <w:noWrap w:val="0"/>
            <w:vAlign w:val="center"/>
          </w:tcPr>
          <w:p>
            <w:pPr>
              <w:spacing w:before="0" w:beforeLines="0" w:afterLines="0"/>
              <w:jc w:val="center"/>
              <w:rPr>
                <w:b w:val="0"/>
                <w:bCs w:val="0"/>
              </w:rPr>
            </w:pPr>
            <w:r>
              <w:rPr>
                <w:rFonts w:hint="eastAsia"/>
                <w:b w:val="0"/>
                <w:bCs w:val="0"/>
              </w:rPr>
              <w:t>51526188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846" w:type="dxa"/>
            <w:noWrap w:val="0"/>
            <w:vAlign w:val="center"/>
          </w:tcPr>
          <w:p>
            <w:pPr>
              <w:spacing w:before="0" w:beforeLines="0" w:afterLines="0"/>
              <w:jc w:val="center"/>
              <w:rPr>
                <w:b w:val="0"/>
                <w:bCs w:val="0"/>
              </w:rPr>
            </w:pPr>
            <w:r>
              <w:rPr>
                <w:rFonts w:hint="eastAsia"/>
                <w:b w:val="0"/>
                <w:bCs w:val="0"/>
              </w:rPr>
              <w:t>30</w:t>
            </w:r>
          </w:p>
        </w:tc>
        <w:tc>
          <w:tcPr>
            <w:tcW w:w="4868" w:type="dxa"/>
            <w:noWrap w:val="0"/>
            <w:vAlign w:val="center"/>
          </w:tcPr>
          <w:p>
            <w:pPr>
              <w:spacing w:before="0" w:beforeLines="0" w:afterLines="0"/>
              <w:jc w:val="center"/>
              <w:rPr>
                <w:rFonts w:hint="eastAsia"/>
                <w:b w:val="0"/>
                <w:bCs w:val="0"/>
              </w:rPr>
            </w:pPr>
            <w:r>
              <w:rPr>
                <w:rFonts w:hint="eastAsia"/>
                <w:b w:val="0"/>
                <w:bCs w:val="0"/>
              </w:rPr>
              <w:t>中国联通巫溪分公司</w:t>
            </w:r>
          </w:p>
        </w:tc>
        <w:tc>
          <w:tcPr>
            <w:tcW w:w="3298" w:type="dxa"/>
            <w:noWrap w:val="0"/>
            <w:vAlign w:val="center"/>
          </w:tcPr>
          <w:p>
            <w:pPr>
              <w:spacing w:before="0" w:beforeLines="0" w:afterLines="0"/>
              <w:jc w:val="center"/>
              <w:rPr>
                <w:rFonts w:hint="eastAsia"/>
                <w:b w:val="0"/>
                <w:bCs w:val="0"/>
              </w:rPr>
            </w:pPr>
            <w:r>
              <w:rPr>
                <w:rFonts w:hint="eastAsia"/>
                <w:b w:val="0"/>
                <w:bCs w:val="0"/>
              </w:rPr>
              <w:t>85950014</w:t>
            </w:r>
          </w:p>
        </w:tc>
      </w:tr>
    </w:tbl>
    <w:p>
      <w:pPr>
        <w:spacing w:before="0" w:beforeLines="0" w:afterLines="0"/>
        <w:rPr>
          <w:rFonts w:hint="eastAsia"/>
          <w:b w:val="0"/>
          <w:bCs w:val="0"/>
        </w:rPr>
      </w:pPr>
    </w:p>
    <w:p>
      <w:pPr>
        <w:spacing w:before="0" w:beforeLines="0" w:afterLines="0"/>
        <w:rPr>
          <w:b w:val="0"/>
          <w:bCs w:val="0"/>
        </w:rPr>
      </w:pPr>
    </w:p>
    <w:p>
      <w:pPr>
        <w:spacing w:before="0" w:beforeLines="0" w:afterLines="0"/>
        <w:rPr>
          <w:b w:val="0"/>
          <w:bCs w:val="0"/>
        </w:rPr>
      </w:pPr>
    </w:p>
    <w:p>
      <w:pPr>
        <w:spacing w:before="0" w:beforeLines="0" w:afterLines="0"/>
        <w:rPr>
          <w:b w:val="0"/>
          <w:bCs w:val="0"/>
        </w:rPr>
      </w:pPr>
    </w:p>
    <w:p>
      <w:pPr>
        <w:spacing w:before="0" w:beforeLines="0" w:afterLines="0"/>
        <w:rPr>
          <w:b w:val="0"/>
          <w:bCs w:val="0"/>
          <w:color w:val="000000"/>
          <w:szCs w:val="32"/>
        </w:rPr>
      </w:pPr>
    </w:p>
    <w:p>
      <w:pPr>
        <w:pStyle w:val="2"/>
        <w:widowControl w:val="0"/>
        <w:adjustRightInd/>
        <w:snapToGrid/>
        <w:spacing w:before="0" w:beforeLines="0"/>
        <w:jc w:val="both"/>
        <w:rPr>
          <w:rFonts w:ascii="Times New Roman" w:hAnsi="Times New Roman" w:eastAsia="方正仿宋_GBK"/>
          <w:b w:val="0"/>
          <w:bCs w:val="0"/>
          <w:color w:val="000000"/>
          <w:szCs w:val="32"/>
          <w:lang w:eastAsia="zh-CN"/>
        </w:rPr>
      </w:pPr>
    </w:p>
    <w:p>
      <w:pPr>
        <w:spacing w:before="0" w:beforeLines="0" w:afterLines="0"/>
        <w:rPr>
          <w:b w:val="0"/>
          <w:bCs w:val="0"/>
          <w:color w:val="000000"/>
          <w:szCs w:val="32"/>
        </w:rPr>
      </w:pPr>
    </w:p>
    <w:p>
      <w:pPr>
        <w:pStyle w:val="2"/>
        <w:widowControl w:val="0"/>
        <w:adjustRightInd/>
        <w:snapToGrid/>
        <w:spacing w:before="0" w:beforeLines="0" w:after="0"/>
        <w:jc w:val="both"/>
        <w:rPr>
          <w:rFonts w:ascii="Times New Roman" w:hAnsi="Times New Roman"/>
          <w:b w:val="0"/>
          <w:bCs w:val="0"/>
          <w:lang w:eastAsia="zh-CN"/>
        </w:rPr>
      </w:pPr>
    </w:p>
    <w:p>
      <w:pPr>
        <w:pStyle w:val="2"/>
        <w:widowControl w:val="0"/>
        <w:adjustRightInd/>
        <w:snapToGrid/>
        <w:spacing w:before="0" w:beforeLines="0" w:after="0"/>
        <w:jc w:val="both"/>
        <w:rPr>
          <w:rFonts w:ascii="Times New Roman" w:hAnsi="Times New Roman"/>
          <w:b w:val="0"/>
          <w:bCs w:val="0"/>
          <w:lang w:eastAsia="zh-CN"/>
        </w:rPr>
      </w:pPr>
    </w:p>
    <w:p>
      <w:pPr>
        <w:spacing w:before="0" w:beforeLines="0" w:afterLines="0"/>
        <w:rPr>
          <w:rFonts w:hint="eastAsia"/>
          <w:b w:val="0"/>
          <w:bCs w:val="0"/>
          <w:sz w:val="28"/>
          <w:szCs w:val="28"/>
        </w:rPr>
      </w:pPr>
    </w:p>
    <w:p>
      <w:pPr>
        <w:pStyle w:val="2"/>
        <w:adjustRightInd/>
        <w:snapToGrid/>
        <w:spacing w:before="0" w:beforeLines="0" w:after="0"/>
        <w:rPr>
          <w:rFonts w:hint="eastAsia" w:ascii="Times New Roman" w:hAnsi="Times New Roman"/>
          <w:b w:val="0"/>
          <w:bCs w:val="0"/>
          <w:sz w:val="28"/>
          <w:szCs w:val="28"/>
        </w:rPr>
      </w:pPr>
    </w:p>
    <w:p>
      <w:pPr>
        <w:pStyle w:val="3"/>
        <w:spacing w:before="0" w:beforeLines="0" w:afterLines="0"/>
        <w:ind w:left="0" w:leftChars="0"/>
        <w:rPr>
          <w:rFonts w:hint="eastAsia" w:ascii="Times New Roman" w:hAnsi="Times New Roman"/>
          <w:b w:val="0"/>
          <w:bCs w:val="0"/>
          <w:sz w:val="28"/>
          <w:szCs w:val="28"/>
        </w:rPr>
      </w:pPr>
    </w:p>
    <w:p>
      <w:pPr>
        <w:spacing w:before="0" w:beforeLines="0" w:afterLines="0"/>
        <w:rPr>
          <w:rFonts w:hint="eastAsia"/>
          <w:b w:val="0"/>
          <w:bCs w:val="0"/>
          <w:sz w:val="28"/>
          <w:szCs w:val="28"/>
        </w:rPr>
      </w:pPr>
    </w:p>
    <w:p>
      <w:pPr>
        <w:pStyle w:val="2"/>
        <w:adjustRightInd/>
        <w:snapToGrid/>
        <w:spacing w:before="0" w:beforeLines="0" w:after="0"/>
        <w:rPr>
          <w:rFonts w:hint="eastAsia" w:ascii="Times New Roman" w:hAnsi="Times New Roman"/>
          <w:b w:val="0"/>
          <w:bCs w:val="0"/>
          <w:sz w:val="28"/>
          <w:szCs w:val="28"/>
        </w:rPr>
      </w:pPr>
    </w:p>
    <w:p>
      <w:pPr>
        <w:pStyle w:val="3"/>
        <w:spacing w:before="0" w:beforeLines="0" w:afterLines="0"/>
        <w:ind w:left="0" w:leftChars="0"/>
        <w:rPr>
          <w:rFonts w:hint="eastAsia" w:ascii="Times New Roman" w:hAnsi="Times New Roman"/>
          <w:b w:val="0"/>
          <w:bCs w:val="0"/>
          <w:sz w:val="28"/>
          <w:szCs w:val="28"/>
        </w:rPr>
      </w:pPr>
    </w:p>
    <w:p>
      <w:pPr>
        <w:spacing w:before="0" w:beforeLines="0" w:afterLines="0"/>
        <w:rPr>
          <w:rFonts w:hint="eastAsia"/>
          <w:b w:val="0"/>
          <w:bCs w:val="0"/>
          <w:sz w:val="28"/>
          <w:szCs w:val="28"/>
        </w:rPr>
      </w:pPr>
    </w:p>
    <w:p>
      <w:pPr>
        <w:pStyle w:val="2"/>
        <w:adjustRightInd/>
        <w:snapToGrid/>
        <w:spacing w:before="0" w:beforeLines="0" w:after="0"/>
        <w:rPr>
          <w:rFonts w:hint="eastAsia" w:ascii="Times New Roman" w:hAnsi="Times New Roman"/>
          <w:b w:val="0"/>
          <w:bCs w:val="0"/>
          <w:sz w:val="28"/>
          <w:szCs w:val="28"/>
        </w:rPr>
      </w:pPr>
    </w:p>
    <w:p>
      <w:pPr>
        <w:pStyle w:val="3"/>
        <w:spacing w:before="0" w:beforeLines="0" w:afterLines="0"/>
        <w:ind w:left="0" w:leftChars="0"/>
        <w:rPr>
          <w:rFonts w:hint="eastAsia" w:ascii="Times New Roman" w:hAnsi="Times New Roman"/>
          <w:b w:val="0"/>
          <w:bCs w:val="0"/>
          <w:sz w:val="28"/>
          <w:szCs w:val="28"/>
        </w:rPr>
      </w:pPr>
    </w:p>
    <w:p>
      <w:pPr>
        <w:spacing w:before="0" w:beforeLines="0" w:afterLines="0"/>
        <w:rPr>
          <w:rFonts w:hint="eastAsia"/>
          <w:b w:val="0"/>
          <w:bCs w:val="0"/>
          <w:sz w:val="28"/>
          <w:szCs w:val="28"/>
        </w:rPr>
      </w:pPr>
    </w:p>
    <w:p>
      <w:pPr>
        <w:pStyle w:val="2"/>
        <w:adjustRightInd/>
        <w:snapToGrid/>
        <w:spacing w:before="0" w:beforeLines="0" w:after="0"/>
        <w:rPr>
          <w:rFonts w:hint="eastAsia" w:ascii="Times New Roman" w:hAnsi="Times New Roman"/>
          <w:b w:val="0"/>
          <w:bCs w:val="0"/>
          <w:sz w:val="28"/>
          <w:szCs w:val="28"/>
        </w:rPr>
      </w:pPr>
    </w:p>
    <w:p>
      <w:pPr>
        <w:pStyle w:val="2"/>
        <w:adjustRightInd/>
        <w:snapToGrid/>
        <w:spacing w:before="0" w:beforeLines="0" w:after="0"/>
        <w:rPr>
          <w:rFonts w:hint="eastAsia" w:ascii="Times New Roman" w:hAnsi="Times New Roman"/>
          <w:b w:val="0"/>
          <w:bCs w:val="0"/>
          <w:sz w:val="28"/>
          <w:szCs w:val="28"/>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pStyle w:val="3"/>
        <w:spacing w:before="0" w:beforeLines="0" w:afterLines="0"/>
        <w:ind w:left="0" w:leftChars="0"/>
        <w:rPr>
          <w:rFonts w:hint="eastAsia"/>
          <w:b w:val="0"/>
          <w:bCs w:val="0"/>
        </w:rPr>
      </w:pPr>
    </w:p>
    <w:p>
      <w:pPr>
        <w:spacing w:before="0" w:beforeLines="0" w:afterLines="0"/>
        <w:ind w:firstLine="320" w:firstLineChars="100"/>
        <w:rPr>
          <w:rFonts w:ascii="Times New Roman" w:hAnsi="Times New Roman"/>
          <w:b w:val="0"/>
          <w:bCs w:val="0"/>
          <w:color w:val="auto"/>
        </w:rPr>
      </w:pPr>
      <w:bookmarkStart w:id="0" w:name="_GoBack"/>
      <w:bookmarkEnd w:id="0"/>
    </w:p>
    <w:sectPr>
      <w:pgSz w:w="11906" w:h="16838"/>
      <w:pgMar w:top="2098" w:right="1474" w:bottom="1984" w:left="1587" w:header="851" w:footer="1474"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00"/>
    <w:family w:val="auto"/>
    <w:pitch w:val="default"/>
    <w:sig w:usb0="00000000" w:usb1="00000000" w:usb2="00000000" w:usb3="00000000" w:csb0="00040000" w:csb1="00000000"/>
  </w:font>
  <w:font w:name="Book Antiqua">
    <w:altName w:val="Segoe Print"/>
    <w:panose1 w:val="02040602050305030304"/>
    <w:charset w:val="00"/>
    <w:family w:val="roman"/>
    <w:pitch w:val="default"/>
    <w:sig w:usb0="00000000" w:usb1="00000000" w:usb2="00000000" w:usb3="00000000" w:csb0="2000009F" w:csb1="DFD70000"/>
  </w:font>
  <w:font w:name="Helvetica">
    <w:altName w:val="Arial"/>
    <w:panose1 w:val="020B0604020202020204"/>
    <w:charset w:val="00"/>
    <w:family w:val="swiss"/>
    <w:pitch w:val="default"/>
    <w:sig w:usb0="00000000" w:usb1="00000000" w:usb2="00000009" w:usb3="00000000" w:csb0="000001FF" w:csb1="00000000"/>
  </w:font>
  <w:font w:name="方正书宋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3090"/>
        <w:tab w:val="clear" w:pos="4153"/>
      </w:tabs>
      <w:ind w:right="360" w:firstLine="360"/>
      <w:rPr>
        <w:rFonts w:hint="eastAsia"/>
      </w:rPr>
    </w:pPr>
    <w:r>
      <w:pict>
        <v:shape id="_x0000_s2050" o:spid="_x0000_s2050" o:spt="202" type="#_x0000_t202" style="position:absolute;left:0pt;margin-top:0pt;height:144pt;width:144pt;mso-position-horizontal:outside;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3"/>
                  <w:ind w:right="357" w:firstLine="357"/>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3</w:t>
                </w:r>
                <w:r>
                  <w:rPr>
                    <w:rFonts w:hint="eastAsia" w:ascii="宋体" w:hAnsi="宋体" w:eastAsia="宋体"/>
                    <w:sz w:val="28"/>
                    <w:szCs w:val="28"/>
                  </w:rPr>
                  <w:fldChar w:fldCharType="end"/>
                </w:r>
                <w:r>
                  <w:rPr>
                    <w:rFonts w:hint="eastAsia" w:ascii="宋体" w:hAnsi="宋体" w:eastAsia="宋体"/>
                    <w:sz w:val="28"/>
                    <w:szCs w:val="28"/>
                  </w:rPr>
                  <w:t xml:space="preserve"> —</w:t>
                </w:r>
              </w:p>
            </w:txbxContent>
          </v:textbox>
        </v:shape>
      </w:pic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57"/>
      <w:rPr>
        <w:rFonts w:hint="eastAsia"/>
      </w:rPr>
    </w:pPr>
    <w:r>
      <w:pict>
        <v:shape id="_x0000_s2049" o:spid="_x0000_s2049" o:spt="202" type="#_x0000_t202" style="position:absolute;left:0pt;margin-top:0pt;height:144pt;width:144pt;mso-position-horizontal:outside;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13"/>
                  <w:ind w:right="357" w:firstLine="357"/>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2</w:t>
                </w:r>
                <w:r>
                  <w:rPr>
                    <w:rFonts w:hint="eastAsia" w:ascii="宋体" w:hAnsi="宋体" w:eastAsia="宋体"/>
                    <w:sz w:val="28"/>
                    <w:szCs w:val="28"/>
                  </w:rPr>
                  <w:fldChar w:fldCharType="end"/>
                </w:r>
                <w:r>
                  <w:rPr>
                    <w:rFonts w:hint="eastAsia" w:ascii="宋体" w:hAnsi="宋体" w:eastAsia="宋体"/>
                    <w:sz w:val="28"/>
                    <w:szCs w:val="28"/>
                  </w:rPr>
                  <w:t xml:space="preserve"> —</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tabs>
        <w:tab w:val="left" w:pos="3090"/>
        <w:tab w:val="clear" w:pos="4153"/>
      </w:tabs>
      <w:ind w:right="360" w:firstLine="360"/>
      <w:rPr>
        <w:rFonts w:hint="eastAsia"/>
      </w:rPr>
    </w:pPr>
    <w:r>
      <w:pict>
        <v:shape id="_x0000_s2053" o:spid="_x0000_s2053" o:spt="202" type="#_x0000_t202" style="position:absolute;left:0pt;margin-top:0pt;height:144pt;width:144pt;mso-position-horizontal:outside;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13"/>
                  <w:ind w:right="357"/>
                  <w:rPr>
                    <w:rFonts w:hint="eastAsia" w:ascii="宋体" w:hAnsi="宋体" w:eastAsia="宋体"/>
                    <w:sz w:val="28"/>
                    <w:szCs w:val="28"/>
                  </w:rPr>
                </w:pPr>
                <w:r>
                  <w:rPr>
                    <w:rFonts w:hint="eastAsia" w:ascii="宋体" w:hAnsi="宋体" w:eastAsia="宋体"/>
                    <w:sz w:val="28"/>
                    <w:szCs w:val="28"/>
                  </w:rPr>
                  <w:t xml:space="preserve">— </w:t>
                </w:r>
                <w:r>
                  <w:rPr>
                    <w:rFonts w:hint="eastAsia" w:ascii="宋体" w:hAnsi="宋体" w:eastAsia="宋体"/>
                    <w:sz w:val="28"/>
                    <w:szCs w:val="28"/>
                  </w:rPr>
                  <w:fldChar w:fldCharType="begin"/>
                </w:r>
                <w:r>
                  <w:rPr>
                    <w:rFonts w:hint="eastAsia" w:ascii="宋体" w:hAnsi="宋体" w:eastAsia="宋体"/>
                    <w:sz w:val="28"/>
                    <w:szCs w:val="28"/>
                  </w:rPr>
                  <w:instrText xml:space="preserve"> PAGE  \* MERGEFORMAT </w:instrText>
                </w:r>
                <w:r>
                  <w:rPr>
                    <w:rFonts w:hint="eastAsia" w:ascii="宋体" w:hAnsi="宋体" w:eastAsia="宋体"/>
                    <w:sz w:val="28"/>
                    <w:szCs w:val="28"/>
                  </w:rPr>
                  <w:fldChar w:fldCharType="separate"/>
                </w:r>
                <w:r>
                  <w:rPr>
                    <w:rFonts w:ascii="宋体" w:hAnsi="宋体" w:eastAsia="宋体"/>
                    <w:sz w:val="28"/>
                    <w:szCs w:val="28"/>
                  </w:rPr>
                  <w:t>29</w:t>
                </w:r>
                <w:r>
                  <w:rPr>
                    <w:rFonts w:hint="eastAsia" w:ascii="宋体" w:hAnsi="宋体" w:eastAsia="宋体"/>
                    <w:sz w:val="28"/>
                    <w:szCs w:val="28"/>
                  </w:rPr>
                  <w:fldChar w:fldCharType="end"/>
                </w:r>
                <w:r>
                  <w:rPr>
                    <w:rFonts w:hint="eastAsia" w:ascii="宋体" w:hAnsi="宋体" w:eastAsia="宋体"/>
                    <w:sz w:val="28"/>
                    <w:szCs w:val="28"/>
                  </w:rPr>
                  <w:t xml:space="preserve"> —</w:t>
                </w:r>
              </w:p>
            </w:txbxContent>
          </v:textbox>
        </v:shape>
      </w:pict>
    </w:r>
    <w:r>
      <w:rPr>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425"/>
  <w:hyphenationZone w:val="360"/>
  <w:evenAndOddHeaders w:val="1"/>
  <w:drawingGridHorizontalSpacing w:val="158"/>
  <w:drawingGridVerticalSpacing w:val="290"/>
  <w:displayHorizontalDrawingGridEvery w:val="2"/>
  <w:displayVerticalDrawingGridEvery w:val="2"/>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doNotBreakWrappedTables/>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RkOWJjNGNjZDNmZGRiMmVlMjVmOTBkMDQ3NTUxMjQifQ=="/>
  </w:docVars>
  <w:rsids>
    <w:rsidRoot w:val="007D55DE"/>
    <w:rsid w:val="00015342"/>
    <w:rsid w:val="00020B5D"/>
    <w:rsid w:val="00024D3A"/>
    <w:rsid w:val="000328B9"/>
    <w:rsid w:val="0007574F"/>
    <w:rsid w:val="00096844"/>
    <w:rsid w:val="000A50A7"/>
    <w:rsid w:val="000E0230"/>
    <w:rsid w:val="000E71D7"/>
    <w:rsid w:val="001067D1"/>
    <w:rsid w:val="00110588"/>
    <w:rsid w:val="00136559"/>
    <w:rsid w:val="0013764A"/>
    <w:rsid w:val="001718C9"/>
    <w:rsid w:val="00181FB5"/>
    <w:rsid w:val="001909A6"/>
    <w:rsid w:val="001D1001"/>
    <w:rsid w:val="001D7DE6"/>
    <w:rsid w:val="001E4A14"/>
    <w:rsid w:val="001F26C1"/>
    <w:rsid w:val="001F4345"/>
    <w:rsid w:val="00206017"/>
    <w:rsid w:val="00214ACE"/>
    <w:rsid w:val="00221D33"/>
    <w:rsid w:val="00257482"/>
    <w:rsid w:val="00257D3B"/>
    <w:rsid w:val="00260785"/>
    <w:rsid w:val="00267810"/>
    <w:rsid w:val="002757C8"/>
    <w:rsid w:val="002776F5"/>
    <w:rsid w:val="00291630"/>
    <w:rsid w:val="002A014A"/>
    <w:rsid w:val="002A4E39"/>
    <w:rsid w:val="002C6410"/>
    <w:rsid w:val="002D23EB"/>
    <w:rsid w:val="002F6843"/>
    <w:rsid w:val="002F6B4B"/>
    <w:rsid w:val="00350A11"/>
    <w:rsid w:val="00364F0B"/>
    <w:rsid w:val="00382080"/>
    <w:rsid w:val="00393D1D"/>
    <w:rsid w:val="0039576A"/>
    <w:rsid w:val="003B368C"/>
    <w:rsid w:val="003E21CE"/>
    <w:rsid w:val="003F257C"/>
    <w:rsid w:val="003F2A22"/>
    <w:rsid w:val="003F2CC3"/>
    <w:rsid w:val="00405A21"/>
    <w:rsid w:val="00405AC5"/>
    <w:rsid w:val="0042496C"/>
    <w:rsid w:val="00441F2C"/>
    <w:rsid w:val="00444B18"/>
    <w:rsid w:val="00444F1A"/>
    <w:rsid w:val="00447EE8"/>
    <w:rsid w:val="00457261"/>
    <w:rsid w:val="00467E15"/>
    <w:rsid w:val="004702B1"/>
    <w:rsid w:val="00471357"/>
    <w:rsid w:val="00476B50"/>
    <w:rsid w:val="004811E8"/>
    <w:rsid w:val="00494D73"/>
    <w:rsid w:val="00495550"/>
    <w:rsid w:val="00497B42"/>
    <w:rsid w:val="004A34D1"/>
    <w:rsid w:val="004A37F9"/>
    <w:rsid w:val="004C43FD"/>
    <w:rsid w:val="004C60A2"/>
    <w:rsid w:val="004E3D1E"/>
    <w:rsid w:val="00504170"/>
    <w:rsid w:val="00536101"/>
    <w:rsid w:val="0053638E"/>
    <w:rsid w:val="00536AD7"/>
    <w:rsid w:val="005518E9"/>
    <w:rsid w:val="00552281"/>
    <w:rsid w:val="00560D81"/>
    <w:rsid w:val="00567D54"/>
    <w:rsid w:val="00571EEC"/>
    <w:rsid w:val="005742A3"/>
    <w:rsid w:val="00575FE0"/>
    <w:rsid w:val="005844BC"/>
    <w:rsid w:val="005975EB"/>
    <w:rsid w:val="005A2D70"/>
    <w:rsid w:val="005B2FD6"/>
    <w:rsid w:val="005C523E"/>
    <w:rsid w:val="005F70E1"/>
    <w:rsid w:val="0061198C"/>
    <w:rsid w:val="0062253B"/>
    <w:rsid w:val="00641808"/>
    <w:rsid w:val="00651C88"/>
    <w:rsid w:val="0066261F"/>
    <w:rsid w:val="006641B1"/>
    <w:rsid w:val="006933E6"/>
    <w:rsid w:val="006A2429"/>
    <w:rsid w:val="006C5FFD"/>
    <w:rsid w:val="00706C57"/>
    <w:rsid w:val="00727C36"/>
    <w:rsid w:val="0074659A"/>
    <w:rsid w:val="007524FF"/>
    <w:rsid w:val="00760194"/>
    <w:rsid w:val="00770B8B"/>
    <w:rsid w:val="00784A3E"/>
    <w:rsid w:val="007853F4"/>
    <w:rsid w:val="007919D6"/>
    <w:rsid w:val="0079701D"/>
    <w:rsid w:val="007B465C"/>
    <w:rsid w:val="007C3E4C"/>
    <w:rsid w:val="007D55DE"/>
    <w:rsid w:val="007D76F5"/>
    <w:rsid w:val="007D79AD"/>
    <w:rsid w:val="007D7B11"/>
    <w:rsid w:val="007E620E"/>
    <w:rsid w:val="007F6A5C"/>
    <w:rsid w:val="007F76B8"/>
    <w:rsid w:val="007F7B46"/>
    <w:rsid w:val="00800573"/>
    <w:rsid w:val="00801084"/>
    <w:rsid w:val="00810D08"/>
    <w:rsid w:val="00824C97"/>
    <w:rsid w:val="008252DF"/>
    <w:rsid w:val="0083023A"/>
    <w:rsid w:val="00834E4C"/>
    <w:rsid w:val="008804F7"/>
    <w:rsid w:val="00883111"/>
    <w:rsid w:val="00884328"/>
    <w:rsid w:val="00886969"/>
    <w:rsid w:val="00892A95"/>
    <w:rsid w:val="008A1DF4"/>
    <w:rsid w:val="008B436D"/>
    <w:rsid w:val="008D6473"/>
    <w:rsid w:val="008E3574"/>
    <w:rsid w:val="008E5387"/>
    <w:rsid w:val="008F31AF"/>
    <w:rsid w:val="008F37B8"/>
    <w:rsid w:val="008F6687"/>
    <w:rsid w:val="00901F8F"/>
    <w:rsid w:val="00910723"/>
    <w:rsid w:val="00926FBE"/>
    <w:rsid w:val="0093025F"/>
    <w:rsid w:val="009304EA"/>
    <w:rsid w:val="00933C0F"/>
    <w:rsid w:val="0094773A"/>
    <w:rsid w:val="009531E4"/>
    <w:rsid w:val="00962271"/>
    <w:rsid w:val="00963510"/>
    <w:rsid w:val="00976F4B"/>
    <w:rsid w:val="00980639"/>
    <w:rsid w:val="00983661"/>
    <w:rsid w:val="00985815"/>
    <w:rsid w:val="009A1F9C"/>
    <w:rsid w:val="009A7968"/>
    <w:rsid w:val="009C657E"/>
    <w:rsid w:val="009D53AC"/>
    <w:rsid w:val="009E3650"/>
    <w:rsid w:val="009E46B8"/>
    <w:rsid w:val="009F04AD"/>
    <w:rsid w:val="009F4E14"/>
    <w:rsid w:val="009F7D6F"/>
    <w:rsid w:val="00A12492"/>
    <w:rsid w:val="00A1337A"/>
    <w:rsid w:val="00A2706E"/>
    <w:rsid w:val="00A31334"/>
    <w:rsid w:val="00A378C5"/>
    <w:rsid w:val="00A525D0"/>
    <w:rsid w:val="00A76BD7"/>
    <w:rsid w:val="00A90365"/>
    <w:rsid w:val="00AB1623"/>
    <w:rsid w:val="00AD671A"/>
    <w:rsid w:val="00AF6BED"/>
    <w:rsid w:val="00B01075"/>
    <w:rsid w:val="00B2185D"/>
    <w:rsid w:val="00B26473"/>
    <w:rsid w:val="00B311E4"/>
    <w:rsid w:val="00B33E3F"/>
    <w:rsid w:val="00B34010"/>
    <w:rsid w:val="00B36F0F"/>
    <w:rsid w:val="00B444D3"/>
    <w:rsid w:val="00B558C7"/>
    <w:rsid w:val="00B60B73"/>
    <w:rsid w:val="00B676BD"/>
    <w:rsid w:val="00B760EE"/>
    <w:rsid w:val="00BB19A9"/>
    <w:rsid w:val="00BB417D"/>
    <w:rsid w:val="00BC6C71"/>
    <w:rsid w:val="00BD572F"/>
    <w:rsid w:val="00BD7840"/>
    <w:rsid w:val="00BF5904"/>
    <w:rsid w:val="00BF5EE8"/>
    <w:rsid w:val="00C01861"/>
    <w:rsid w:val="00C122E8"/>
    <w:rsid w:val="00C167AF"/>
    <w:rsid w:val="00C20008"/>
    <w:rsid w:val="00C3320E"/>
    <w:rsid w:val="00C65408"/>
    <w:rsid w:val="00C74608"/>
    <w:rsid w:val="00C94E50"/>
    <w:rsid w:val="00C95094"/>
    <w:rsid w:val="00CA19F3"/>
    <w:rsid w:val="00CA30C2"/>
    <w:rsid w:val="00CA680D"/>
    <w:rsid w:val="00CB553C"/>
    <w:rsid w:val="00CB65B9"/>
    <w:rsid w:val="00CC0396"/>
    <w:rsid w:val="00CC1C95"/>
    <w:rsid w:val="00CD20FD"/>
    <w:rsid w:val="00D0341E"/>
    <w:rsid w:val="00D27D16"/>
    <w:rsid w:val="00D435D1"/>
    <w:rsid w:val="00D7254C"/>
    <w:rsid w:val="00D7257D"/>
    <w:rsid w:val="00D771AD"/>
    <w:rsid w:val="00DA2BDD"/>
    <w:rsid w:val="00DB03D0"/>
    <w:rsid w:val="00DB2479"/>
    <w:rsid w:val="00DD5173"/>
    <w:rsid w:val="00DF2CB7"/>
    <w:rsid w:val="00E066F1"/>
    <w:rsid w:val="00E0690F"/>
    <w:rsid w:val="00E34E35"/>
    <w:rsid w:val="00E379F2"/>
    <w:rsid w:val="00E43A17"/>
    <w:rsid w:val="00E46846"/>
    <w:rsid w:val="00E8261D"/>
    <w:rsid w:val="00E87406"/>
    <w:rsid w:val="00E87AB0"/>
    <w:rsid w:val="00EA6C1B"/>
    <w:rsid w:val="00EB52C9"/>
    <w:rsid w:val="00EB7D1C"/>
    <w:rsid w:val="00EE2B95"/>
    <w:rsid w:val="00EE7F1C"/>
    <w:rsid w:val="00EF17D5"/>
    <w:rsid w:val="00F040D9"/>
    <w:rsid w:val="00F05ADF"/>
    <w:rsid w:val="00F13FEF"/>
    <w:rsid w:val="00F22422"/>
    <w:rsid w:val="00F2521D"/>
    <w:rsid w:val="00F73DC2"/>
    <w:rsid w:val="00F803C9"/>
    <w:rsid w:val="00F93725"/>
    <w:rsid w:val="00FA05D0"/>
    <w:rsid w:val="00FC06E2"/>
    <w:rsid w:val="00FC1643"/>
    <w:rsid w:val="00FC36E4"/>
    <w:rsid w:val="00FD747E"/>
    <w:rsid w:val="00FE3B1E"/>
    <w:rsid w:val="00FE6528"/>
    <w:rsid w:val="00FF14CB"/>
    <w:rsid w:val="00FF2B1E"/>
    <w:rsid w:val="00FF2F7C"/>
    <w:rsid w:val="00FF3886"/>
    <w:rsid w:val="00FF7496"/>
    <w:rsid w:val="016C5DDC"/>
    <w:rsid w:val="017C79C0"/>
    <w:rsid w:val="019B1886"/>
    <w:rsid w:val="020D4057"/>
    <w:rsid w:val="027F3D47"/>
    <w:rsid w:val="031418F0"/>
    <w:rsid w:val="058F71B4"/>
    <w:rsid w:val="05A32BC9"/>
    <w:rsid w:val="0790350F"/>
    <w:rsid w:val="0992531D"/>
    <w:rsid w:val="0A2C476C"/>
    <w:rsid w:val="0AAF1A66"/>
    <w:rsid w:val="0C6470AF"/>
    <w:rsid w:val="0C6F5726"/>
    <w:rsid w:val="0D0227BA"/>
    <w:rsid w:val="0EB14497"/>
    <w:rsid w:val="102A6183"/>
    <w:rsid w:val="102B0279"/>
    <w:rsid w:val="10CB7366"/>
    <w:rsid w:val="12513A17"/>
    <w:rsid w:val="192C2EEE"/>
    <w:rsid w:val="1A665596"/>
    <w:rsid w:val="1B901D16"/>
    <w:rsid w:val="1BBD3E5B"/>
    <w:rsid w:val="1C4C3A51"/>
    <w:rsid w:val="1CE603D1"/>
    <w:rsid w:val="1CFF46B2"/>
    <w:rsid w:val="1E8A1DA1"/>
    <w:rsid w:val="1F580DCD"/>
    <w:rsid w:val="20E12E72"/>
    <w:rsid w:val="21CC7803"/>
    <w:rsid w:val="21E309B4"/>
    <w:rsid w:val="22FD7B71"/>
    <w:rsid w:val="234E7043"/>
    <w:rsid w:val="2383647E"/>
    <w:rsid w:val="238F5E16"/>
    <w:rsid w:val="24F655EF"/>
    <w:rsid w:val="2589601F"/>
    <w:rsid w:val="25AA3ACA"/>
    <w:rsid w:val="262648B3"/>
    <w:rsid w:val="267B7CA6"/>
    <w:rsid w:val="271F4E53"/>
    <w:rsid w:val="28BD15CA"/>
    <w:rsid w:val="292C49EE"/>
    <w:rsid w:val="2949493A"/>
    <w:rsid w:val="298A7967"/>
    <w:rsid w:val="29ED633A"/>
    <w:rsid w:val="2B1D3F18"/>
    <w:rsid w:val="2DB72CF5"/>
    <w:rsid w:val="2F860BD0"/>
    <w:rsid w:val="2F994DA8"/>
    <w:rsid w:val="2FA225FE"/>
    <w:rsid w:val="30A75796"/>
    <w:rsid w:val="33475F19"/>
    <w:rsid w:val="342A3278"/>
    <w:rsid w:val="35B3638F"/>
    <w:rsid w:val="36302E0F"/>
    <w:rsid w:val="37E83606"/>
    <w:rsid w:val="3A480BD6"/>
    <w:rsid w:val="3A73291D"/>
    <w:rsid w:val="3A9307DC"/>
    <w:rsid w:val="3AFFECC8"/>
    <w:rsid w:val="3BDD66FF"/>
    <w:rsid w:val="3CEA4F9E"/>
    <w:rsid w:val="4090773C"/>
    <w:rsid w:val="41006A35"/>
    <w:rsid w:val="419B4F5D"/>
    <w:rsid w:val="41AA0789"/>
    <w:rsid w:val="42186000"/>
    <w:rsid w:val="424D4B17"/>
    <w:rsid w:val="42F2756F"/>
    <w:rsid w:val="43461404"/>
    <w:rsid w:val="438C56C9"/>
    <w:rsid w:val="4427252A"/>
    <w:rsid w:val="44A8766B"/>
    <w:rsid w:val="44CC4DC0"/>
    <w:rsid w:val="46543401"/>
    <w:rsid w:val="484F02A2"/>
    <w:rsid w:val="4A4F272E"/>
    <w:rsid w:val="4CA95044"/>
    <w:rsid w:val="4CDA381D"/>
    <w:rsid w:val="4D5D72C9"/>
    <w:rsid w:val="4EAD1B4A"/>
    <w:rsid w:val="4F730272"/>
    <w:rsid w:val="521E23BF"/>
    <w:rsid w:val="52C42147"/>
    <w:rsid w:val="52F03A3E"/>
    <w:rsid w:val="52F87455"/>
    <w:rsid w:val="535F3A8F"/>
    <w:rsid w:val="57F7082F"/>
    <w:rsid w:val="588D5082"/>
    <w:rsid w:val="59D023CC"/>
    <w:rsid w:val="59F634F2"/>
    <w:rsid w:val="5AE512E1"/>
    <w:rsid w:val="5BB24978"/>
    <w:rsid w:val="5BDF4DB4"/>
    <w:rsid w:val="5BF014BE"/>
    <w:rsid w:val="5BFB4B15"/>
    <w:rsid w:val="5BFF13ED"/>
    <w:rsid w:val="5C7D4F86"/>
    <w:rsid w:val="5CA4746D"/>
    <w:rsid w:val="5DC41746"/>
    <w:rsid w:val="5ED85D88"/>
    <w:rsid w:val="5F7ECD6F"/>
    <w:rsid w:val="5FA76C33"/>
    <w:rsid w:val="5FABC409"/>
    <w:rsid w:val="5FCFB31C"/>
    <w:rsid w:val="607555DE"/>
    <w:rsid w:val="60F670B5"/>
    <w:rsid w:val="63D731CD"/>
    <w:rsid w:val="653F75C9"/>
    <w:rsid w:val="65A17F37"/>
    <w:rsid w:val="65D33883"/>
    <w:rsid w:val="67E30944"/>
    <w:rsid w:val="68E85E7D"/>
    <w:rsid w:val="6A6E721F"/>
    <w:rsid w:val="6ADF9717"/>
    <w:rsid w:val="6AF3EE24"/>
    <w:rsid w:val="6B966CEA"/>
    <w:rsid w:val="6DB0474F"/>
    <w:rsid w:val="6FC00FB9"/>
    <w:rsid w:val="6FD4046D"/>
    <w:rsid w:val="6FFF0F5F"/>
    <w:rsid w:val="7027728A"/>
    <w:rsid w:val="705636CC"/>
    <w:rsid w:val="709F3C3B"/>
    <w:rsid w:val="733D3FB7"/>
    <w:rsid w:val="735F1371"/>
    <w:rsid w:val="739B22A6"/>
    <w:rsid w:val="73F78939"/>
    <w:rsid w:val="74240EF1"/>
    <w:rsid w:val="74681C20"/>
    <w:rsid w:val="760140DA"/>
    <w:rsid w:val="769301D8"/>
    <w:rsid w:val="77136F72"/>
    <w:rsid w:val="7AB14320"/>
    <w:rsid w:val="7B75BE8C"/>
    <w:rsid w:val="7DFB089E"/>
    <w:rsid w:val="7EDF8303"/>
    <w:rsid w:val="7F9EEAFF"/>
    <w:rsid w:val="9FBF3B85"/>
    <w:rsid w:val="9FFF8922"/>
    <w:rsid w:val="BFFE26A8"/>
    <w:rsid w:val="CEFE42FF"/>
    <w:rsid w:val="D66FAC43"/>
    <w:rsid w:val="D7B3BDBD"/>
    <w:rsid w:val="D7FF184E"/>
    <w:rsid w:val="E19401C4"/>
    <w:rsid w:val="E77F2DC3"/>
    <w:rsid w:val="E88E04B3"/>
    <w:rsid w:val="EAED33B0"/>
    <w:rsid w:val="EFBF244D"/>
    <w:rsid w:val="EFF7D75C"/>
    <w:rsid w:val="F619C078"/>
    <w:rsid w:val="F67EAE8C"/>
    <w:rsid w:val="F7790A36"/>
    <w:rsid w:val="F99F436C"/>
    <w:rsid w:val="FDF9D15C"/>
    <w:rsid w:val="FF376016"/>
    <w:rsid w:val="FF3DD09C"/>
    <w:rsid w:val="FF5B504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lang w:val="en-US" w:eastAsia="zh-CN" w:bidi="ar-SA"/>
    </w:rPr>
  </w:style>
  <w:style w:type="paragraph" w:styleId="4">
    <w:name w:val="heading 1"/>
    <w:basedOn w:val="1"/>
    <w:next w:val="1"/>
    <w:link w:val="32"/>
    <w:qFormat/>
    <w:uiPriority w:val="0"/>
    <w:pPr>
      <w:keepNext/>
      <w:keepLines/>
      <w:spacing w:before="340" w:beforeLines="0" w:after="330" w:afterLines="0" w:line="360" w:lineRule="auto"/>
      <w:outlineLvl w:val="0"/>
    </w:pPr>
    <w:rPr>
      <w:rFonts w:eastAsia="方正小标宋_GBK"/>
      <w:b/>
      <w:bCs/>
      <w:kern w:val="44"/>
      <w:sz w:val="44"/>
      <w:szCs w:val="44"/>
    </w:rPr>
  </w:style>
  <w:style w:type="paragraph" w:styleId="5">
    <w:name w:val="heading 2"/>
    <w:basedOn w:val="1"/>
    <w:next w:val="1"/>
    <w:qFormat/>
    <w:uiPriority w:val="0"/>
    <w:pPr>
      <w:keepNext/>
      <w:keepLines/>
      <w:spacing w:before="100" w:beforeLines="0" w:after="100" w:afterLines="0" w:line="360" w:lineRule="auto"/>
      <w:ind w:firstLine="100" w:firstLineChars="100"/>
      <w:outlineLvl w:val="1"/>
    </w:pPr>
    <w:rPr>
      <w:rFonts w:ascii="Cambria" w:hAnsi="Cambria" w:eastAsia="方正黑体_GBK" w:cs="Times New Roman"/>
      <w:b/>
      <w:bCs/>
      <w:sz w:val="36"/>
      <w:szCs w:val="32"/>
    </w:rPr>
  </w:style>
  <w:style w:type="paragraph" w:styleId="6">
    <w:name w:val="heading 3"/>
    <w:basedOn w:val="1"/>
    <w:next w:val="1"/>
    <w:qFormat/>
    <w:uiPriority w:val="0"/>
    <w:pPr>
      <w:keepNext/>
      <w:keepLines/>
      <w:spacing w:before="260" w:beforeLines="0" w:after="260" w:afterLines="0" w:line="416" w:lineRule="auto"/>
      <w:outlineLvl w:val="2"/>
    </w:pPr>
    <w:rPr>
      <w:b/>
      <w:bCs/>
      <w:szCs w:val="32"/>
    </w:rPr>
  </w:style>
  <w:style w:type="paragraph" w:styleId="7">
    <w:name w:val="heading 4"/>
    <w:basedOn w:val="5"/>
    <w:next w:val="1"/>
    <w:qFormat/>
    <w:uiPriority w:val="0"/>
    <w:pPr>
      <w:keepNext/>
      <w:keepLines/>
      <w:widowControl w:val="0"/>
      <w:spacing w:before="280" w:beforeLines="0" w:after="290" w:afterLines="0" w:line="376" w:lineRule="auto"/>
      <w:jc w:val="both"/>
      <w:outlineLvl w:val="3"/>
    </w:pPr>
    <w:rPr>
      <w:rFonts w:ascii="Cambria" w:hAnsi="Cambria" w:eastAsia="宋体"/>
      <w:bCs w:val="0"/>
      <w:kern w:val="2"/>
      <w:sz w:val="28"/>
      <w:szCs w:val="28"/>
    </w:rPr>
  </w:style>
  <w:style w:type="character" w:default="1" w:styleId="28">
    <w:name w:val="Default Paragraph Font"/>
    <w:semiHidden/>
    <w:qFormat/>
    <w:uiPriority w:val="0"/>
  </w:style>
  <w:style w:type="table" w:default="1" w:styleId="26">
    <w:name w:val="Normal Table"/>
    <w:semiHidden/>
    <w:qFormat/>
    <w:uiPriority w:val="0"/>
    <w:tblPr>
      <w:tblCellMar>
        <w:top w:w="0" w:type="dxa"/>
        <w:left w:w="108" w:type="dxa"/>
        <w:bottom w:w="0" w:type="dxa"/>
        <w:right w:w="108" w:type="dxa"/>
      </w:tblCellMar>
    </w:tblPr>
  </w:style>
  <w:style w:type="paragraph" w:styleId="2">
    <w:name w:val="Body Text"/>
    <w:basedOn w:val="1"/>
    <w:next w:val="3"/>
    <w:link w:val="44"/>
    <w:qFormat/>
    <w:uiPriority w:val="0"/>
    <w:pPr>
      <w:spacing w:afterLines="0" w:afterAutospacing="0"/>
    </w:pPr>
  </w:style>
  <w:style w:type="paragraph" w:styleId="3">
    <w:name w:val="toc 5"/>
    <w:basedOn w:val="1"/>
    <w:next w:val="1"/>
    <w:qFormat/>
    <w:uiPriority w:val="0"/>
    <w:pPr>
      <w:ind w:left="1680" w:leftChars="800"/>
    </w:pPr>
    <w:rPr>
      <w:rFonts w:ascii="Calibri" w:hAnsi="Calibri" w:eastAsia="宋体"/>
      <w:sz w:val="21"/>
      <w:szCs w:val="22"/>
    </w:rPr>
  </w:style>
  <w:style w:type="paragraph" w:styleId="8">
    <w:name w:val="Normal Indent"/>
    <w:basedOn w:val="1"/>
    <w:qFormat/>
    <w:uiPriority w:val="0"/>
    <w:pPr>
      <w:ind w:firstLine="420" w:firstLineChars="200"/>
    </w:pPr>
    <w:rPr>
      <w:rFonts w:hint="eastAsia" w:ascii="Times New Roman" w:hAnsi="Times New Roman" w:eastAsia="宋体" w:cs="Times New Roman"/>
      <w:szCs w:val="24"/>
    </w:rPr>
  </w:style>
  <w:style w:type="paragraph" w:styleId="9">
    <w:name w:val="Body Text Indent"/>
    <w:basedOn w:val="1"/>
    <w:link w:val="46"/>
    <w:qFormat/>
    <w:uiPriority w:val="0"/>
    <w:pPr>
      <w:spacing w:after="120"/>
      <w:ind w:left="420" w:leftChars="200"/>
    </w:pPr>
    <w:rPr>
      <w:szCs w:val="24"/>
    </w:rPr>
  </w:style>
  <w:style w:type="paragraph" w:styleId="10">
    <w:name w:val="toc 3"/>
    <w:basedOn w:val="1"/>
    <w:next w:val="1"/>
    <w:qFormat/>
    <w:uiPriority w:val="0"/>
    <w:pPr>
      <w:ind w:left="840" w:leftChars="400"/>
    </w:pPr>
  </w:style>
  <w:style w:type="paragraph" w:styleId="11">
    <w:name w:val="Date"/>
    <w:basedOn w:val="1"/>
    <w:next w:val="1"/>
    <w:qFormat/>
    <w:uiPriority w:val="0"/>
    <w:pPr>
      <w:ind w:left="100" w:leftChars="2500"/>
    </w:pPr>
    <w:rPr>
      <w:szCs w:val="24"/>
    </w:rPr>
  </w:style>
  <w:style w:type="paragraph" w:styleId="12">
    <w:name w:val="Balloon Text"/>
    <w:basedOn w:val="1"/>
    <w:qFormat/>
    <w:uiPriority w:val="0"/>
    <w:rPr>
      <w:sz w:val="18"/>
      <w:szCs w:val="18"/>
    </w:rPr>
  </w:style>
  <w:style w:type="paragraph" w:styleId="13">
    <w:name w:val="footer"/>
    <w:basedOn w:val="1"/>
    <w:next w:val="14"/>
    <w:link w:val="33"/>
    <w:qFormat/>
    <w:uiPriority w:val="0"/>
    <w:pPr>
      <w:tabs>
        <w:tab w:val="center" w:pos="4153"/>
        <w:tab w:val="right" w:pos="8306"/>
      </w:tabs>
      <w:snapToGrid w:val="0"/>
      <w:jc w:val="left"/>
    </w:pPr>
    <w:rPr>
      <w:sz w:val="18"/>
    </w:rPr>
  </w:style>
  <w:style w:type="paragraph" w:customStyle="1" w:styleId="14">
    <w:name w:val="UserStyle_2"/>
    <w:basedOn w:val="1"/>
    <w:next w:val="1"/>
    <w:qFormat/>
    <w:uiPriority w:val="0"/>
    <w:pPr>
      <w:ind w:left="1680"/>
    </w:pPr>
    <w:rPr>
      <w:szCs w:val="24"/>
    </w:rPr>
  </w:style>
  <w:style w:type="paragraph" w:styleId="15">
    <w:name w:val="header"/>
    <w:basedOn w:val="1"/>
    <w:qFormat/>
    <w:uiPriority w:val="0"/>
    <w:pPr>
      <w:tabs>
        <w:tab w:val="center" w:pos="4153"/>
        <w:tab w:val="right" w:pos="8306"/>
      </w:tabs>
      <w:snapToGrid w:val="0"/>
      <w:jc w:val="center"/>
    </w:pPr>
    <w:rPr>
      <w:sz w:val="18"/>
    </w:rPr>
  </w:style>
  <w:style w:type="paragraph" w:styleId="16">
    <w:name w:val="toc 1"/>
    <w:basedOn w:val="1"/>
    <w:next w:val="1"/>
    <w:qFormat/>
    <w:uiPriority w:val="0"/>
    <w:pPr>
      <w:tabs>
        <w:tab w:val="right" w:leader="dot" w:pos="8834"/>
      </w:tabs>
      <w:spacing w:line="578" w:lineRule="exact"/>
      <w:jc w:val="left"/>
    </w:pPr>
    <w:rPr>
      <w:rFonts w:ascii="方正黑体_GBK" w:eastAsia="方正黑体_GBK" w:cs="方正黑体_GBK"/>
      <w:szCs w:val="32"/>
    </w:rPr>
  </w:style>
  <w:style w:type="paragraph" w:styleId="17">
    <w:name w:val="toc 4"/>
    <w:basedOn w:val="1"/>
    <w:next w:val="1"/>
    <w:qFormat/>
    <w:uiPriority w:val="0"/>
    <w:pPr>
      <w:ind w:left="1260" w:leftChars="600"/>
    </w:pPr>
  </w:style>
  <w:style w:type="paragraph" w:styleId="18">
    <w:name w:val="index 7"/>
    <w:basedOn w:val="1"/>
    <w:next w:val="1"/>
    <w:qFormat/>
    <w:uiPriority w:val="0"/>
    <w:pPr>
      <w:ind w:left="2520"/>
    </w:pPr>
    <w:rPr>
      <w:szCs w:val="24"/>
    </w:rPr>
  </w:style>
  <w:style w:type="paragraph" w:styleId="19">
    <w:name w:val="toc 2"/>
    <w:basedOn w:val="1"/>
    <w:next w:val="1"/>
    <w:qFormat/>
    <w:uiPriority w:val="0"/>
    <w:pPr>
      <w:tabs>
        <w:tab w:val="right" w:leader="dot" w:pos="8834"/>
      </w:tabs>
      <w:spacing w:line="578" w:lineRule="exact"/>
    </w:pPr>
    <w:rPr>
      <w:rFonts w:ascii="方正仿宋_GBK" w:cs="方正楷体_GBK"/>
    </w:rPr>
  </w:style>
  <w:style w:type="paragraph" w:styleId="20">
    <w:name w:val="Message Header"/>
    <w:basedOn w:val="1"/>
    <w:next w:val="2"/>
    <w:qFormat/>
    <w:uiPriority w:val="0"/>
    <w:pPr>
      <w:pBdr>
        <w:top w:val="none" w:color="auto" w:sz="0" w:space="1"/>
        <w:left w:val="none" w:color="auto" w:sz="0" w:space="4"/>
        <w:bottom w:val="none" w:color="auto" w:sz="0" w:space="1"/>
        <w:right w:val="none" w:color="auto" w:sz="0" w:space="4"/>
      </w:pBdr>
      <w:spacing w:line="560" w:lineRule="exact"/>
      <w:ind w:firstLine="880" w:firstLineChars="200"/>
    </w:pPr>
    <w:rPr>
      <w:rFonts w:ascii="Arial" w:hAnsi="Arial" w:eastAsia="仿宋_GB2312"/>
      <w:szCs w:val="24"/>
    </w:rPr>
  </w:style>
  <w:style w:type="paragraph" w:styleId="21">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22">
    <w:name w:val="Normal (Web)"/>
    <w:basedOn w:val="1"/>
    <w:qFormat/>
    <w:uiPriority w:val="0"/>
    <w:pPr>
      <w:widowControl/>
      <w:spacing w:before="100" w:beforeLines="0" w:beforeAutospacing="1" w:after="100" w:afterLines="0" w:afterAutospacing="1"/>
      <w:ind w:firstLine="600" w:firstLineChars="200"/>
      <w:jc w:val="left"/>
    </w:pPr>
    <w:rPr>
      <w:rFonts w:ascii="宋体" w:hAnsi="宋体" w:eastAsia="宋体" w:cs="宋体"/>
      <w:kern w:val="0"/>
      <w:sz w:val="24"/>
      <w:szCs w:val="24"/>
    </w:rPr>
  </w:style>
  <w:style w:type="paragraph" w:styleId="23">
    <w:name w:val="Title"/>
    <w:basedOn w:val="1"/>
    <w:next w:val="1"/>
    <w:qFormat/>
    <w:uiPriority w:val="0"/>
    <w:pPr>
      <w:spacing w:before="240" w:beforeLines="0" w:after="60" w:afterLines="0"/>
      <w:jc w:val="center"/>
      <w:outlineLvl w:val="0"/>
    </w:pPr>
    <w:rPr>
      <w:rFonts w:hint="default" w:ascii="Cambria" w:hAnsi="Cambria"/>
      <w:b/>
      <w:sz w:val="21"/>
      <w:szCs w:val="32"/>
    </w:rPr>
  </w:style>
  <w:style w:type="paragraph" w:styleId="24">
    <w:name w:val="Body Text First Indent"/>
    <w:basedOn w:val="2"/>
    <w:qFormat/>
    <w:uiPriority w:val="0"/>
    <w:pPr>
      <w:spacing w:after="160"/>
      <w:ind w:firstLine="420" w:firstLineChars="100"/>
    </w:pPr>
  </w:style>
  <w:style w:type="paragraph" w:styleId="25">
    <w:name w:val="Body Text First Indent 2"/>
    <w:basedOn w:val="9"/>
    <w:link w:val="45"/>
    <w:qFormat/>
    <w:uiPriority w:val="0"/>
    <w:pPr>
      <w:ind w:firstLine="420" w:firstLineChars="200"/>
    </w:pPr>
    <w:rPr>
      <w:rFonts w:ascii="Calibri" w:hAnsi="Calibri" w:eastAsia="宋体" w:cs="宋体"/>
      <w:sz w:val="21"/>
      <w:szCs w:val="21"/>
    </w:rPr>
  </w:style>
  <w:style w:type="table" w:styleId="27">
    <w:name w:val="Table Grid"/>
    <w:basedOn w:val="2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9">
    <w:name w:val="Strong"/>
    <w:basedOn w:val="28"/>
    <w:qFormat/>
    <w:uiPriority w:val="0"/>
    <w:rPr>
      <w:rFonts w:ascii="Times New Roman" w:hAnsi="Times New Roman" w:eastAsia="宋体" w:cs="Times New Roman"/>
      <w:b/>
      <w:bCs/>
    </w:rPr>
  </w:style>
  <w:style w:type="character" w:styleId="30">
    <w:name w:val="page number"/>
    <w:qFormat/>
    <w:uiPriority w:val="0"/>
  </w:style>
  <w:style w:type="character" w:styleId="31">
    <w:name w:val="Hyperlink"/>
    <w:basedOn w:val="28"/>
    <w:qFormat/>
    <w:uiPriority w:val="0"/>
    <w:rPr>
      <w:color w:val="0000FF"/>
      <w:u w:val="single"/>
    </w:rPr>
  </w:style>
  <w:style w:type="character" w:customStyle="1" w:styleId="32">
    <w:name w:val="标题 1 Char"/>
    <w:basedOn w:val="28"/>
    <w:link w:val="4"/>
    <w:qFormat/>
    <w:uiPriority w:val="0"/>
    <w:rPr>
      <w:rFonts w:eastAsia="方正小标宋_GBK"/>
      <w:b/>
      <w:bCs/>
      <w:kern w:val="44"/>
      <w:sz w:val="44"/>
      <w:szCs w:val="44"/>
    </w:rPr>
  </w:style>
  <w:style w:type="character" w:customStyle="1" w:styleId="33">
    <w:name w:val="页脚 Char"/>
    <w:link w:val="13"/>
    <w:qFormat/>
    <w:uiPriority w:val="0"/>
    <w:rPr>
      <w:rFonts w:eastAsia="方正仿宋_GBK"/>
      <w:kern w:val="2"/>
      <w:sz w:val="18"/>
    </w:rPr>
  </w:style>
  <w:style w:type="paragraph" w:styleId="34">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35">
    <w:name w:val="WPSOffice手动目录 1"/>
    <w:qFormat/>
    <w:uiPriority w:val="0"/>
    <w:pPr>
      <w:ind w:leftChars="0"/>
    </w:pPr>
    <w:rPr>
      <w:rFonts w:ascii="Times New Roman" w:hAnsi="Times New Roman" w:eastAsia="宋体" w:cs="Times New Roman"/>
      <w:sz w:val="20"/>
      <w:szCs w:val="20"/>
    </w:rPr>
  </w:style>
  <w:style w:type="paragraph" w:customStyle="1" w:styleId="36">
    <w:name w:val="WPSOffice手动目录 2"/>
    <w:qFormat/>
    <w:uiPriority w:val="0"/>
    <w:pPr>
      <w:ind w:leftChars="200"/>
    </w:pPr>
    <w:rPr>
      <w:rFonts w:ascii="Times New Roman" w:hAnsi="Times New Roman" w:eastAsia="宋体" w:cs="Times New Roman"/>
      <w:sz w:val="20"/>
      <w:szCs w:val="20"/>
    </w:rPr>
  </w:style>
  <w:style w:type="character" w:customStyle="1" w:styleId="37">
    <w:name w:val="font71"/>
    <w:basedOn w:val="28"/>
    <w:qFormat/>
    <w:uiPriority w:val="0"/>
    <w:rPr>
      <w:rFonts w:hint="eastAsia" w:ascii="宋体" w:hAnsi="宋体" w:eastAsia="宋体" w:cs="宋体"/>
      <w:b/>
      <w:bCs/>
      <w:color w:val="000000"/>
      <w:sz w:val="22"/>
      <w:szCs w:val="22"/>
      <w:u w:val="none"/>
    </w:rPr>
  </w:style>
  <w:style w:type="character" w:customStyle="1" w:styleId="38">
    <w:name w:val="font61"/>
    <w:basedOn w:val="28"/>
    <w:qFormat/>
    <w:uiPriority w:val="0"/>
    <w:rPr>
      <w:rFonts w:hint="default" w:ascii="Times New Roman" w:hAnsi="Times New Roman" w:cs="Times New Roman"/>
      <w:b/>
      <w:bCs/>
      <w:color w:val="FF0000"/>
      <w:sz w:val="22"/>
      <w:szCs w:val="22"/>
      <w:u w:val="none"/>
    </w:rPr>
  </w:style>
  <w:style w:type="character" w:customStyle="1" w:styleId="39">
    <w:name w:val="NormalCharacter"/>
    <w:semiHidden/>
    <w:qFormat/>
    <w:uiPriority w:val="0"/>
    <w:rPr>
      <w:rFonts w:ascii="Calibri" w:hAnsi="Calibri" w:eastAsia="宋体" w:cs="黑体"/>
      <w:kern w:val="2"/>
      <w:sz w:val="21"/>
      <w:szCs w:val="22"/>
      <w:lang w:val="en-US" w:eastAsia="zh-CN"/>
    </w:rPr>
  </w:style>
  <w:style w:type="character" w:customStyle="1" w:styleId="40">
    <w:name w:val="lemmatitleh12"/>
    <w:basedOn w:val="28"/>
    <w:qFormat/>
    <w:uiPriority w:val="0"/>
    <w:rPr>
      <w:rFonts w:ascii="Times New Roman" w:hAnsi="Times New Roman" w:eastAsia="宋体" w:cs="Times New Roman"/>
    </w:rPr>
  </w:style>
  <w:style w:type="character" w:customStyle="1" w:styleId="41">
    <w:name w:val="正文文本 Char1"/>
    <w:basedOn w:val="28"/>
    <w:qFormat/>
    <w:uiPriority w:val="0"/>
    <w:rPr>
      <w:rFonts w:ascii="Times New Roman" w:hAnsi="Times New Roman" w:eastAsia="方正仿宋_GBK" w:cs="Times New Roman"/>
      <w:kern w:val="2"/>
      <w:sz w:val="32"/>
      <w:szCs w:val="24"/>
    </w:rPr>
  </w:style>
  <w:style w:type="character" w:customStyle="1" w:styleId="42">
    <w:name w:val="ca-1"/>
    <w:basedOn w:val="28"/>
    <w:qFormat/>
    <w:uiPriority w:val="0"/>
    <w:rPr>
      <w:rFonts w:ascii="Times New Roman" w:hAnsi="Times New Roman" w:eastAsia="宋体" w:cs="Times New Roman"/>
    </w:rPr>
  </w:style>
  <w:style w:type="character" w:customStyle="1" w:styleId="43">
    <w:name w:val="UserStyle_12"/>
    <w:semiHidden/>
    <w:qFormat/>
    <w:uiPriority w:val="0"/>
    <w:rPr>
      <w:rFonts w:ascii="Calibri" w:hAnsi="Calibri" w:eastAsia="宋体" w:cs="Times New Roman"/>
      <w:kern w:val="2"/>
      <w:sz w:val="21"/>
      <w:szCs w:val="24"/>
      <w:lang w:val="en-US" w:eastAsia="zh-CN" w:bidi="ar-SA"/>
    </w:rPr>
  </w:style>
  <w:style w:type="character" w:customStyle="1" w:styleId="44">
    <w:name w:val="正文文本 Char"/>
    <w:link w:val="2"/>
    <w:qFormat/>
    <w:uiPriority w:val="0"/>
    <w:rPr>
      <w:rFonts w:ascii="Times New Roman" w:hAnsi="Times New Roman" w:eastAsia="宋体" w:cs="Times New Roman"/>
    </w:rPr>
  </w:style>
  <w:style w:type="character" w:customStyle="1" w:styleId="45">
    <w:name w:val="正文首行缩进 2 Char"/>
    <w:basedOn w:val="46"/>
    <w:link w:val="25"/>
    <w:qFormat/>
    <w:uiPriority w:val="0"/>
    <w:rPr>
      <w:rFonts w:ascii="Calibri" w:hAnsi="Calibri" w:eastAsia="宋体" w:cs="宋体"/>
      <w:sz w:val="21"/>
      <w:szCs w:val="21"/>
    </w:rPr>
  </w:style>
  <w:style w:type="character" w:customStyle="1" w:styleId="46">
    <w:name w:val="正文文本缩进 Char"/>
    <w:basedOn w:val="28"/>
    <w:link w:val="9"/>
    <w:qFormat/>
    <w:uiPriority w:val="0"/>
    <w:rPr>
      <w:rFonts w:ascii="Times New Roman" w:hAnsi="Times New Roman" w:eastAsia="宋体" w:cs="Times New Roman"/>
    </w:rPr>
  </w:style>
  <w:style w:type="paragraph" w:customStyle="1" w:styleId="47">
    <w:name w:val="Body text|1"/>
    <w:basedOn w:val="1"/>
    <w:qFormat/>
    <w:uiPriority w:val="0"/>
    <w:pPr>
      <w:widowControl w:val="0"/>
      <w:shd w:val="clear" w:color="auto" w:fill="auto"/>
      <w:spacing w:line="449" w:lineRule="auto"/>
      <w:ind w:firstLine="400"/>
    </w:pPr>
    <w:rPr>
      <w:rFonts w:ascii="宋体" w:hAnsi="宋体" w:eastAsia="宋体" w:cs="宋体"/>
      <w:sz w:val="28"/>
      <w:szCs w:val="28"/>
      <w:u w:val="none"/>
      <w:shd w:val="clear" w:color="auto" w:fill="auto"/>
      <w:lang w:val="zh-TW" w:eastAsia="zh-TW"/>
    </w:rPr>
  </w:style>
  <w:style w:type="paragraph" w:customStyle="1" w:styleId="48">
    <w:name w:val="FootnoteText"/>
    <w:basedOn w:val="1"/>
    <w:qFormat/>
    <w:uiPriority w:val="0"/>
    <w:pPr>
      <w:snapToGrid w:val="0"/>
      <w:jc w:val="left"/>
    </w:pPr>
    <w:rPr>
      <w:sz w:val="18"/>
      <w:szCs w:val="18"/>
    </w:rPr>
  </w:style>
  <w:style w:type="paragraph" w:customStyle="1" w:styleId="49">
    <w:name w:val="TOC5"/>
    <w:basedOn w:val="1"/>
    <w:next w:val="1"/>
    <w:qFormat/>
    <w:uiPriority w:val="0"/>
    <w:pPr>
      <w:ind w:left="1680" w:leftChars="800"/>
      <w:textAlignment w:val="baseline"/>
    </w:pPr>
    <w:rPr>
      <w:rFonts w:cs="黑体"/>
      <w:szCs w:val="24"/>
    </w:rPr>
  </w:style>
  <w:style w:type="paragraph" w:customStyle="1" w:styleId="50">
    <w:name w:val="Char"/>
    <w:basedOn w:val="1"/>
    <w:qFormat/>
    <w:uiPriority w:val="0"/>
    <w:pPr>
      <w:widowControl/>
      <w:jc w:val="left"/>
    </w:pPr>
    <w:rPr>
      <w:rFonts w:eastAsia="宋体"/>
      <w:sz w:val="21"/>
      <w:szCs w:val="24"/>
    </w:rPr>
  </w:style>
  <w:style w:type="paragraph" w:customStyle="1" w:styleId="51">
    <w:name w:val="Char Char Char"/>
    <w:basedOn w:val="1"/>
    <w:qFormat/>
    <w:uiPriority w:val="0"/>
    <w:pPr>
      <w:spacing w:line="360" w:lineRule="auto"/>
    </w:pPr>
    <w:rPr>
      <w:rFonts w:eastAsia="宋体"/>
      <w:sz w:val="24"/>
      <w:szCs w:val="24"/>
    </w:rPr>
  </w:style>
  <w:style w:type="paragraph" w:customStyle="1" w:styleId="5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cs="Arial"/>
      <w:sz w:val="24"/>
      <w:szCs w:val="24"/>
    </w:rPr>
  </w:style>
  <w:style w:type="paragraph" w:customStyle="1" w:styleId="53">
    <w:name w:val="List Paragraph"/>
    <w:basedOn w:val="1"/>
    <w:qFormat/>
    <w:uiPriority w:val="0"/>
    <w:pPr>
      <w:ind w:firstLine="420" w:firstLineChars="200"/>
    </w:pPr>
    <w:rPr>
      <w:rFonts w:ascii="Calibri" w:hAnsi="Calibri" w:eastAsia="宋体" w:cs="黑体"/>
      <w:sz w:val="21"/>
      <w:szCs w:val="24"/>
    </w:rPr>
  </w:style>
  <w:style w:type="paragraph" w:customStyle="1" w:styleId="54">
    <w:name w:val="BodyText"/>
    <w:basedOn w:val="1"/>
    <w:next w:val="49"/>
    <w:qFormat/>
    <w:uiPriority w:val="0"/>
    <w:pPr>
      <w:textAlignment w:val="baseline"/>
    </w:pPr>
    <w:rPr>
      <w:rFonts w:ascii="Calibri" w:hAnsi="Calibri" w:eastAsia="宋体" w:cs="黑体"/>
      <w:sz w:val="21"/>
      <w:szCs w:val="22"/>
    </w:rPr>
  </w:style>
  <w:style w:type="paragraph" w:customStyle="1" w:styleId="55">
    <w:name w:val="Default"/>
    <w:next w:val="1"/>
    <w:qFormat/>
    <w:uiPriority w:val="0"/>
    <w:pPr>
      <w:widowControl w:val="0"/>
      <w:autoSpaceDE w:val="0"/>
      <w:autoSpaceDN w:val="0"/>
      <w:adjustRightInd w:val="0"/>
    </w:pPr>
    <w:rPr>
      <w:rFonts w:ascii="方正仿宋_GBK" w:hAnsi="Times New Roman" w:eastAsia="方正仿宋_GBK" w:cs="Times New Roman"/>
      <w:color w:val="000000"/>
      <w:sz w:val="24"/>
      <w:szCs w:val="24"/>
      <w:lang w:val="en-US" w:eastAsia="zh-CN" w:bidi="ar-SA"/>
    </w:rPr>
  </w:style>
  <w:style w:type="paragraph" w:customStyle="1" w:styleId="56">
    <w:name w:val=" Char"/>
    <w:basedOn w:val="1"/>
    <w:qFormat/>
    <w:uiPriority w:val="0"/>
    <w:rPr>
      <w:szCs w:val="24"/>
    </w:rPr>
  </w:style>
  <w:style w:type="paragraph" w:customStyle="1" w:styleId="57">
    <w:name w:val="p0"/>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58">
    <w:name w:val="样式 样式 正文首行缩进 + 首行缩进:  2 字符1 + 四号 首行缩进:  2 字符"/>
    <w:basedOn w:val="1"/>
    <w:qFormat/>
    <w:uiPriority w:val="0"/>
    <w:pPr>
      <w:spacing w:line="360" w:lineRule="auto"/>
      <w:ind w:firstLine="560" w:firstLineChars="200"/>
    </w:pPr>
    <w:rPr>
      <w:rFonts w:ascii="Book Antiqua" w:hAnsi="Book Antiqua" w:eastAsia="宋体" w:cs="宋体"/>
      <w:sz w:val="24"/>
      <w:szCs w:val="20"/>
    </w:rPr>
  </w:style>
  <w:style w:type="paragraph" w:customStyle="1" w:styleId="59">
    <w:name w:val="TableOfAuthoring"/>
    <w:basedOn w:val="1"/>
    <w:next w:val="1"/>
    <w:qFormat/>
    <w:uiPriority w:val="0"/>
    <w:pPr>
      <w:widowControl/>
      <w:ind w:left="420" w:leftChars="200"/>
      <w:textAlignment w:val="baseline"/>
    </w:pPr>
    <w:rPr>
      <w:rFonts w:ascii="Times New Roman" w:hAnsi="Times New Roman" w:eastAsia="宋体" w:cs="Times New Roman"/>
      <w:sz w:val="21"/>
      <w:szCs w:val="24"/>
    </w:rPr>
  </w:style>
  <w:style w:type="paragraph" w:customStyle="1" w:styleId="60">
    <w:name w:val="默认"/>
    <w:qFormat/>
    <w:uiPriority w:val="0"/>
    <w:rPr>
      <w:rFonts w:ascii="Helvetica" w:hAnsi="Helvetica" w:eastAsia="Helvetica" w:cs="Helvetica"/>
      <w:color w:val="000000"/>
      <w:sz w:val="22"/>
      <w:szCs w:val="22"/>
      <w:lang w:val="en-US" w:eastAsia="zh-CN" w:bidi="ar-SA"/>
    </w:rPr>
  </w:style>
  <w:style w:type="paragraph" w:customStyle="1" w:styleId="61">
    <w:name w:val="默认段落字体 Para Char Char Char Char Char Char Char Char Char Char"/>
    <w:basedOn w:val="1"/>
    <w:qFormat/>
    <w:uiPriority w:val="0"/>
    <w:rPr>
      <w:rFonts w:ascii="Arial" w:hAnsi="Arial" w:eastAsia="宋体" w:cs="Arial"/>
      <w:sz w:val="20"/>
      <w:szCs w:val="20"/>
    </w:rPr>
  </w:style>
  <w:style w:type="paragraph" w:customStyle="1" w:styleId="62">
    <w:name w:val=" Char Char2"/>
    <w:basedOn w:val="1"/>
    <w:qFormat/>
    <w:uiPriority w:val="0"/>
    <w:rPr>
      <w:szCs w:val="24"/>
    </w:rPr>
  </w:style>
  <w:style w:type="paragraph" w:customStyle="1" w:styleId="63">
    <w:name w:val="p15"/>
    <w:basedOn w:val="1"/>
    <w:qFormat/>
    <w:uiPriority w:val="0"/>
    <w:pPr>
      <w:widowControl/>
      <w:spacing w:before="100" w:after="100"/>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customXml" Target="../customXml/item1.xml"/><Relationship Id="rId13" Type="http://schemas.openxmlformats.org/officeDocument/2006/relationships/image" Target="media/image1.jpeg"/><Relationship Id="rId12" Type="http://schemas.openxmlformats.org/officeDocument/2006/relationships/theme" Target="theme/theme1.xml"/><Relationship Id="rId11" Type="http://schemas.openxmlformats.org/officeDocument/2006/relationships/header" Target="header6.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0" textRotate="1"/>
    <customShpInfo spid="_x0000_s2049" textRotate="1"/>
    <customShpInfo spid="_x0000_s2053" textRotate="1"/>
    <customShpInfo spid="_x0000_s1028"/>
    <customShpInfo spid="_x0000_s1029"/>
    <customShpInfo spid="_x0000_s1030"/>
    <customShpInfo spid="_x0000_s1031"/>
    <customShpInfo spid="_x0000_s1032"/>
    <customShpInfo spid="_x0000_s1033"/>
    <customShpInfo spid="_x0000_s1034"/>
    <customShpInfo spid="_x0000_s1035"/>
    <customShpInfo spid="_x0000_s1036"/>
    <customShpInfo spid="_x0000_s1037"/>
    <customShpInfo spid="_x0000_s1038"/>
    <customShpInfo spid="_x0000_s1039"/>
    <customShpInfo spid="_x0000_s1040"/>
    <customShpInfo spid="_x0000_s1041"/>
    <customShpInfo spid="_x0000_s1042"/>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36</Pages>
  <Words>13471</Words>
  <Characters>14217</Characters>
  <Lines>111</Lines>
  <Paragraphs>31</Paragraphs>
  <TotalTime>1</TotalTime>
  <ScaleCrop>false</ScaleCrop>
  <LinksUpToDate>false</LinksUpToDate>
  <CharactersWithSpaces>14485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2021-12-30T11:47:00Z</dcterms:created>
  <dc:creator>Lenovo User</dc:creator>
  <cp:lastModifiedBy>admin</cp:lastModifiedBy>
  <cp:lastPrinted>2021-12-31T11:22:00Z</cp:lastPrinted>
  <dcterms:modified xsi:type="dcterms:W3CDTF">2023-01-09T08:34:44Z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C5FBBC1D52134770AAD0B115B9C46294</vt:lpwstr>
  </property>
</Properties>
</file>